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8EB" w:rsidRPr="0040545C" w:rsidRDefault="009F18EB" w:rsidP="009F18EB">
      <w:pPr>
        <w:spacing w:after="0" w:line="276" w:lineRule="auto"/>
        <w:jc w:val="center"/>
        <w:outlineLvl w:val="1"/>
        <w:rPr>
          <w:rFonts w:ascii="Times New Roman" w:eastAsia="Calibri" w:hAnsi="Times New Roman" w:cs="Times New Roman"/>
          <w:b/>
          <w:sz w:val="36"/>
          <w:szCs w:val="24"/>
        </w:rPr>
      </w:pPr>
      <w:r w:rsidRPr="0040545C">
        <w:rPr>
          <w:rFonts w:ascii="Times New Roman" w:eastAsia="Calibri" w:hAnsi="Times New Roman" w:cs="Times New Roman"/>
          <w:b/>
          <w:sz w:val="36"/>
          <w:szCs w:val="24"/>
        </w:rPr>
        <w:t>Seminar 3: Parliamentary Supremacy</w:t>
      </w:r>
    </w:p>
    <w:p w:rsidR="009F18EB" w:rsidRPr="0040545C" w:rsidRDefault="009F18EB" w:rsidP="009F18EB">
      <w:pPr>
        <w:spacing w:after="0" w:line="276" w:lineRule="auto"/>
        <w:jc w:val="both"/>
        <w:rPr>
          <w:rFonts w:ascii="Times New Roman" w:eastAsia="Calibri" w:hAnsi="Times New Roman" w:cs="Times New Roman"/>
          <w:sz w:val="24"/>
          <w:szCs w:val="24"/>
        </w:rPr>
      </w:pPr>
    </w:p>
    <w:p w:rsidR="009F18EB" w:rsidRPr="0040545C" w:rsidRDefault="009F18EB" w:rsidP="009F18EB">
      <w:pPr>
        <w:spacing w:after="0" w:line="276" w:lineRule="auto"/>
        <w:outlineLvl w:val="2"/>
        <w:rPr>
          <w:rFonts w:ascii="Times New Roman" w:eastAsia="Calibri" w:hAnsi="Times New Roman" w:cs="Times New Roman"/>
          <w:b/>
          <w:sz w:val="28"/>
          <w:szCs w:val="24"/>
        </w:rPr>
      </w:pPr>
      <w:r w:rsidRPr="0040545C">
        <w:rPr>
          <w:rFonts w:ascii="Times New Roman" w:eastAsia="Calibri" w:hAnsi="Times New Roman" w:cs="Times New Roman"/>
          <w:b/>
          <w:sz w:val="28"/>
          <w:szCs w:val="24"/>
        </w:rPr>
        <w:t>Reading</w:t>
      </w:r>
      <w:bookmarkStart w:id="0" w:name="_GoBack"/>
      <w:bookmarkEnd w:id="0"/>
    </w:p>
    <w:p w:rsidR="009F18EB" w:rsidRPr="0040545C" w:rsidRDefault="009F18EB" w:rsidP="009F18EB">
      <w:pPr>
        <w:spacing w:after="0" w:line="276" w:lineRule="auto"/>
        <w:jc w:val="both"/>
        <w:rPr>
          <w:rFonts w:ascii="Times New Roman" w:eastAsia="Calibri" w:hAnsi="Times New Roman" w:cs="Times New Roman"/>
          <w:sz w:val="24"/>
          <w:szCs w:val="24"/>
        </w:rPr>
      </w:pPr>
    </w:p>
    <w:p w:rsidR="009F18EB" w:rsidRPr="0040545C" w:rsidRDefault="009F18EB" w:rsidP="009F18EB">
      <w:pPr>
        <w:spacing w:after="0" w:line="276" w:lineRule="auto"/>
        <w:jc w:val="both"/>
        <w:outlineLvl w:val="3"/>
        <w:rPr>
          <w:rFonts w:ascii="Times New Roman" w:eastAsia="Calibri" w:hAnsi="Times New Roman" w:cs="Times New Roman"/>
          <w:sz w:val="24"/>
          <w:szCs w:val="24"/>
          <w:u w:val="single"/>
        </w:rPr>
      </w:pPr>
      <w:r w:rsidRPr="0040545C">
        <w:rPr>
          <w:rFonts w:ascii="Times New Roman" w:eastAsia="Calibri" w:hAnsi="Times New Roman" w:cs="Times New Roman"/>
          <w:sz w:val="24"/>
          <w:szCs w:val="24"/>
          <w:u w:val="single"/>
        </w:rPr>
        <w:t>Required reading:</w:t>
      </w:r>
    </w:p>
    <w:p w:rsidR="009F18EB" w:rsidRPr="0040545C" w:rsidRDefault="009F18EB" w:rsidP="009F18EB">
      <w:pPr>
        <w:spacing w:after="0" w:line="276" w:lineRule="auto"/>
        <w:jc w:val="both"/>
        <w:rPr>
          <w:rFonts w:ascii="Times New Roman" w:eastAsia="Calibri" w:hAnsi="Times New Roman" w:cs="Times New Roman"/>
          <w:sz w:val="24"/>
          <w:szCs w:val="24"/>
        </w:rPr>
      </w:pPr>
    </w:p>
    <w:p w:rsidR="009F18EB" w:rsidRPr="0040545C" w:rsidRDefault="009F18EB" w:rsidP="009F18EB">
      <w:pPr>
        <w:numPr>
          <w:ilvl w:val="0"/>
          <w:numId w:val="15"/>
        </w:numPr>
        <w:spacing w:after="0" w:line="276" w:lineRule="auto"/>
        <w:contextualSpacing/>
        <w:jc w:val="both"/>
        <w:rPr>
          <w:rFonts w:ascii="Times New Roman" w:eastAsia="Times New Roman" w:hAnsi="Times New Roman" w:cs="Times New Roman"/>
          <w:sz w:val="24"/>
          <w:szCs w:val="24"/>
          <w:lang w:eastAsia="en-GB" w:bidi="he-IL"/>
        </w:rPr>
      </w:pPr>
      <w:r w:rsidRPr="0040545C">
        <w:rPr>
          <w:rFonts w:ascii="Times New Roman" w:eastAsia="Times New Roman" w:hAnsi="Times New Roman" w:cs="Times New Roman"/>
          <w:i/>
          <w:sz w:val="24"/>
          <w:szCs w:val="24"/>
          <w:lang w:eastAsia="en-GB" w:bidi="he-IL"/>
        </w:rPr>
        <w:t>R (on the application of Jackson) v. Attorney General</w:t>
      </w:r>
      <w:r w:rsidRPr="0040545C">
        <w:rPr>
          <w:rFonts w:ascii="Times New Roman" w:eastAsia="Times New Roman" w:hAnsi="Times New Roman" w:cs="Times New Roman"/>
          <w:sz w:val="24"/>
          <w:szCs w:val="24"/>
          <w:lang w:eastAsia="en-GB" w:bidi="he-IL"/>
        </w:rPr>
        <w:t xml:space="preserve"> [2005] UKHL 56. [</w:t>
      </w:r>
      <w:hyperlink r:id="rId5" w:history="1">
        <w:r w:rsidRPr="0040545C">
          <w:rPr>
            <w:rFonts w:ascii="Times New Roman" w:eastAsia="Times New Roman" w:hAnsi="Times New Roman" w:cs="Times New Roman"/>
            <w:color w:val="0563C1"/>
            <w:sz w:val="24"/>
            <w:szCs w:val="24"/>
            <w:u w:val="single"/>
            <w:lang w:eastAsia="en-GB" w:bidi="he-IL"/>
          </w:rPr>
          <w:t>LINK – Law Report (Westlaw</w:t>
        </w:r>
      </w:hyperlink>
      <w:r w:rsidRPr="0040545C">
        <w:rPr>
          <w:rFonts w:ascii="Times New Roman" w:eastAsia="Times New Roman" w:hAnsi="Times New Roman" w:cs="Times New Roman"/>
          <w:color w:val="0563C1"/>
          <w:sz w:val="24"/>
          <w:szCs w:val="24"/>
          <w:u w:val="single"/>
          <w:lang w:eastAsia="en-GB" w:bidi="he-IL"/>
        </w:rPr>
        <w:t>)</w:t>
      </w:r>
      <w:r w:rsidRPr="0040545C">
        <w:rPr>
          <w:rFonts w:ascii="Times New Roman" w:eastAsia="Times New Roman" w:hAnsi="Times New Roman" w:cs="Times New Roman"/>
          <w:sz w:val="24"/>
          <w:szCs w:val="24"/>
          <w:lang w:eastAsia="en-GB" w:bidi="he-IL"/>
        </w:rPr>
        <w:t xml:space="preserve">] </w:t>
      </w:r>
      <w:hyperlink r:id="rId6" w:history="1">
        <w:r w:rsidRPr="0040545C">
          <w:rPr>
            <w:rFonts w:ascii="Times New Roman" w:eastAsia="Times New Roman" w:hAnsi="Times New Roman" w:cs="Times New Roman"/>
            <w:color w:val="0563C1"/>
            <w:sz w:val="24"/>
            <w:szCs w:val="24"/>
            <w:u w:val="single"/>
            <w:lang w:eastAsia="en-GB" w:bidi="he-IL"/>
          </w:rPr>
          <w:t>[LINK – Judgments Only]</w:t>
        </w:r>
      </w:hyperlink>
    </w:p>
    <w:p w:rsidR="009F18EB" w:rsidRPr="0040545C" w:rsidRDefault="009F18EB" w:rsidP="009F18EB">
      <w:pPr>
        <w:spacing w:after="0" w:line="276" w:lineRule="auto"/>
        <w:ind w:left="360"/>
        <w:contextualSpacing/>
        <w:jc w:val="both"/>
        <w:rPr>
          <w:rFonts w:ascii="Times New Roman" w:eastAsia="Times New Roman" w:hAnsi="Times New Roman" w:cs="Times New Roman"/>
          <w:i/>
          <w:sz w:val="24"/>
          <w:szCs w:val="24"/>
          <w:lang w:eastAsia="en-GB" w:bidi="he-IL"/>
        </w:rPr>
      </w:pPr>
      <w:r w:rsidRPr="0040545C">
        <w:rPr>
          <w:rFonts w:ascii="Times New Roman" w:eastAsia="Times New Roman" w:hAnsi="Times New Roman" w:cs="Times New Roman"/>
          <w:i/>
          <w:sz w:val="24"/>
          <w:szCs w:val="24"/>
          <w:lang w:eastAsia="en-GB" w:bidi="he-IL"/>
        </w:rPr>
        <w:t>(</w:t>
      </w:r>
      <w:proofErr w:type="gramStart"/>
      <w:r w:rsidRPr="0040545C">
        <w:rPr>
          <w:rFonts w:ascii="Times New Roman" w:eastAsia="Times New Roman" w:hAnsi="Times New Roman" w:cs="Times New Roman"/>
          <w:i/>
          <w:sz w:val="24"/>
          <w:szCs w:val="24"/>
          <w:u w:val="single"/>
          <w:lang w:eastAsia="en-GB" w:bidi="he-IL"/>
        </w:rPr>
        <w:t>especially</w:t>
      </w:r>
      <w:proofErr w:type="gramEnd"/>
      <w:r w:rsidRPr="0040545C">
        <w:rPr>
          <w:rFonts w:ascii="Times New Roman" w:eastAsia="Times New Roman" w:hAnsi="Times New Roman" w:cs="Times New Roman"/>
          <w:i/>
          <w:sz w:val="24"/>
          <w:szCs w:val="24"/>
          <w:lang w:eastAsia="en-GB" w:bidi="he-IL"/>
        </w:rPr>
        <w:t xml:space="preserve"> paras. 1-41 (Lord Bingham), 100-102 (Lord Steyn), 104-108 (Lord Hope) and 156-159 (Lady Hale), 168 (Lord </w:t>
      </w:r>
      <w:proofErr w:type="spellStart"/>
      <w:r w:rsidRPr="0040545C">
        <w:rPr>
          <w:rFonts w:ascii="Times New Roman" w:eastAsia="Times New Roman" w:hAnsi="Times New Roman" w:cs="Times New Roman"/>
          <w:i/>
          <w:sz w:val="24"/>
          <w:szCs w:val="24"/>
          <w:lang w:eastAsia="en-GB" w:bidi="he-IL"/>
        </w:rPr>
        <w:t>Carswell</w:t>
      </w:r>
      <w:proofErr w:type="spellEnd"/>
      <w:r w:rsidRPr="0040545C">
        <w:rPr>
          <w:rFonts w:ascii="Times New Roman" w:eastAsia="Times New Roman" w:hAnsi="Times New Roman" w:cs="Times New Roman"/>
          <w:i/>
          <w:sz w:val="24"/>
          <w:szCs w:val="24"/>
          <w:lang w:eastAsia="en-GB" w:bidi="he-IL"/>
        </w:rPr>
        <w:t>))</w:t>
      </w:r>
    </w:p>
    <w:p w:rsidR="009F18EB" w:rsidRPr="0040545C" w:rsidRDefault="009F18EB" w:rsidP="009F18EB">
      <w:pPr>
        <w:spacing w:after="0" w:line="276" w:lineRule="auto"/>
        <w:jc w:val="both"/>
        <w:outlineLvl w:val="3"/>
        <w:rPr>
          <w:rFonts w:ascii="Times New Roman" w:eastAsia="Calibri" w:hAnsi="Times New Roman" w:cs="Times New Roman"/>
          <w:sz w:val="24"/>
          <w:szCs w:val="24"/>
          <w:u w:val="single"/>
        </w:rPr>
      </w:pPr>
    </w:p>
    <w:p w:rsidR="009F18EB" w:rsidRPr="0040545C" w:rsidRDefault="009F18EB" w:rsidP="009F18EB">
      <w:pPr>
        <w:spacing w:after="0" w:line="276" w:lineRule="auto"/>
        <w:jc w:val="both"/>
        <w:outlineLvl w:val="3"/>
        <w:rPr>
          <w:rFonts w:ascii="Times New Roman" w:eastAsia="Calibri" w:hAnsi="Times New Roman" w:cs="Times New Roman"/>
          <w:sz w:val="24"/>
          <w:szCs w:val="24"/>
          <w:u w:val="single"/>
        </w:rPr>
      </w:pPr>
      <w:r w:rsidRPr="0040545C">
        <w:rPr>
          <w:rFonts w:ascii="Times New Roman" w:eastAsia="Calibri" w:hAnsi="Times New Roman" w:cs="Times New Roman"/>
          <w:sz w:val="24"/>
          <w:szCs w:val="24"/>
          <w:u w:val="single"/>
        </w:rPr>
        <w:t>Recommended reading:</w:t>
      </w:r>
    </w:p>
    <w:p w:rsidR="009F18EB" w:rsidRPr="0040545C" w:rsidRDefault="009F18EB" w:rsidP="009F18EB">
      <w:pPr>
        <w:spacing w:after="0" w:line="276" w:lineRule="auto"/>
        <w:jc w:val="both"/>
        <w:rPr>
          <w:rFonts w:ascii="Times New Roman" w:eastAsia="Calibri" w:hAnsi="Times New Roman" w:cs="Times New Roman"/>
          <w:sz w:val="24"/>
          <w:szCs w:val="24"/>
        </w:rPr>
      </w:pPr>
    </w:p>
    <w:p w:rsidR="009F18EB" w:rsidRPr="0040545C" w:rsidRDefault="009F18EB" w:rsidP="009F18EB">
      <w:pPr>
        <w:numPr>
          <w:ilvl w:val="0"/>
          <w:numId w:val="12"/>
        </w:numPr>
        <w:spacing w:after="0" w:line="276" w:lineRule="auto"/>
        <w:contextualSpacing/>
        <w:jc w:val="both"/>
        <w:rPr>
          <w:rFonts w:ascii="Times New Roman" w:eastAsia="Calibri" w:hAnsi="Times New Roman" w:cs="Times New Roman"/>
          <w:sz w:val="24"/>
          <w:szCs w:val="24"/>
        </w:rPr>
      </w:pPr>
      <w:r w:rsidRPr="0040545C">
        <w:rPr>
          <w:rFonts w:ascii="Times New Roman" w:eastAsia="Calibri" w:hAnsi="Times New Roman" w:cs="Times New Roman"/>
          <w:sz w:val="24"/>
          <w:szCs w:val="24"/>
        </w:rPr>
        <w:t xml:space="preserve">Lisa Webley &amp; Harriet Samuels, </w:t>
      </w:r>
      <w:r w:rsidRPr="0040545C">
        <w:rPr>
          <w:rFonts w:ascii="Times New Roman" w:eastAsia="Calibri" w:hAnsi="Times New Roman" w:cs="Times New Roman"/>
          <w:i/>
          <w:sz w:val="24"/>
          <w:szCs w:val="24"/>
        </w:rPr>
        <w:t xml:space="preserve">Complete Public Law </w:t>
      </w:r>
      <w:r w:rsidRPr="0040545C">
        <w:rPr>
          <w:rFonts w:ascii="Times New Roman" w:eastAsia="Calibri" w:hAnsi="Times New Roman" w:cs="Times New Roman"/>
          <w:sz w:val="24"/>
          <w:szCs w:val="24"/>
        </w:rPr>
        <w:t>(4</w:t>
      </w:r>
      <w:r w:rsidRPr="0040545C">
        <w:rPr>
          <w:rFonts w:ascii="Times New Roman" w:eastAsia="Calibri" w:hAnsi="Times New Roman" w:cs="Times New Roman"/>
          <w:sz w:val="24"/>
          <w:szCs w:val="24"/>
          <w:vertAlign w:val="superscript"/>
        </w:rPr>
        <w:t>th</w:t>
      </w:r>
      <w:r w:rsidRPr="0040545C">
        <w:rPr>
          <w:rFonts w:ascii="Times New Roman" w:eastAsia="Calibri" w:hAnsi="Times New Roman" w:cs="Times New Roman"/>
          <w:sz w:val="24"/>
          <w:szCs w:val="24"/>
        </w:rPr>
        <w:t xml:space="preserve"> </w:t>
      </w:r>
      <w:proofErr w:type="spellStart"/>
      <w:r w:rsidRPr="0040545C">
        <w:rPr>
          <w:rFonts w:ascii="Times New Roman" w:eastAsia="Calibri" w:hAnsi="Times New Roman" w:cs="Times New Roman"/>
          <w:sz w:val="24"/>
          <w:szCs w:val="24"/>
        </w:rPr>
        <w:t>Edn</w:t>
      </w:r>
      <w:proofErr w:type="spellEnd"/>
      <w:r w:rsidRPr="0040545C">
        <w:rPr>
          <w:rFonts w:ascii="Times New Roman" w:eastAsia="Calibri" w:hAnsi="Times New Roman" w:cs="Times New Roman"/>
          <w:sz w:val="24"/>
          <w:szCs w:val="24"/>
        </w:rPr>
        <w:t xml:space="preserve">, OUP 2018), Chapter 7 </w:t>
      </w:r>
      <w:hyperlink r:id="rId7" w:history="1">
        <w:r w:rsidRPr="0040545C">
          <w:rPr>
            <w:rFonts w:ascii="Times New Roman" w:eastAsia="Calibri" w:hAnsi="Times New Roman" w:cs="Times New Roman"/>
            <w:color w:val="0563C1"/>
            <w:sz w:val="24"/>
            <w:szCs w:val="24"/>
            <w:u w:val="single"/>
          </w:rPr>
          <w:t>[LINK]</w:t>
        </w:r>
      </w:hyperlink>
      <w:r w:rsidRPr="0040545C">
        <w:rPr>
          <w:rFonts w:ascii="Times New Roman" w:eastAsia="Calibri" w:hAnsi="Times New Roman" w:cs="Times New Roman"/>
          <w:sz w:val="24"/>
          <w:szCs w:val="24"/>
        </w:rPr>
        <w:t xml:space="preserve"> &amp; Chapter 8 (especially 8.3 &amp; 8.4) </w:t>
      </w:r>
      <w:hyperlink r:id="rId8" w:history="1">
        <w:r w:rsidRPr="0040545C">
          <w:rPr>
            <w:rFonts w:ascii="Times New Roman" w:eastAsia="Calibri" w:hAnsi="Times New Roman" w:cs="Times New Roman"/>
            <w:color w:val="0563C1"/>
            <w:sz w:val="24"/>
            <w:szCs w:val="24"/>
            <w:u w:val="single"/>
          </w:rPr>
          <w:t>[LINK]</w:t>
        </w:r>
      </w:hyperlink>
    </w:p>
    <w:p w:rsidR="009F18EB" w:rsidRPr="0040545C" w:rsidRDefault="009F18EB" w:rsidP="009F18EB">
      <w:pPr>
        <w:spacing w:after="0" w:line="276" w:lineRule="auto"/>
        <w:ind w:left="360"/>
        <w:contextualSpacing/>
        <w:jc w:val="both"/>
        <w:rPr>
          <w:rFonts w:ascii="Times New Roman" w:eastAsia="Calibri" w:hAnsi="Times New Roman" w:cs="Times New Roman"/>
          <w:sz w:val="24"/>
          <w:szCs w:val="24"/>
        </w:rPr>
      </w:pPr>
    </w:p>
    <w:p w:rsidR="009F18EB" w:rsidRPr="0040545C" w:rsidRDefault="009F18EB" w:rsidP="009F18EB">
      <w:pPr>
        <w:numPr>
          <w:ilvl w:val="0"/>
          <w:numId w:val="12"/>
        </w:numPr>
        <w:spacing w:after="0" w:line="276" w:lineRule="auto"/>
        <w:contextualSpacing/>
        <w:jc w:val="both"/>
        <w:rPr>
          <w:rFonts w:ascii="Times New Roman" w:eastAsia="Calibri" w:hAnsi="Times New Roman" w:cs="Times New Roman"/>
          <w:sz w:val="24"/>
          <w:szCs w:val="24"/>
        </w:rPr>
      </w:pPr>
      <w:r w:rsidRPr="0040545C">
        <w:rPr>
          <w:rFonts w:ascii="Times New Roman" w:eastAsia="Calibri" w:hAnsi="Times New Roman" w:cs="Times New Roman"/>
          <w:sz w:val="24"/>
          <w:szCs w:val="24"/>
        </w:rPr>
        <w:t xml:space="preserve">Mark Elliott, ‘Parliamentary Sovereignty in a Changing Constitutional Landscape’ in Jeffrey Jowell &amp; Colm </w:t>
      </w:r>
      <w:proofErr w:type="spellStart"/>
      <w:r w:rsidRPr="0040545C">
        <w:rPr>
          <w:rFonts w:ascii="Times New Roman" w:eastAsia="Calibri" w:hAnsi="Times New Roman" w:cs="Times New Roman"/>
          <w:sz w:val="24"/>
          <w:szCs w:val="24"/>
        </w:rPr>
        <w:t>O’Cinneide</w:t>
      </w:r>
      <w:proofErr w:type="spellEnd"/>
      <w:r w:rsidRPr="0040545C">
        <w:rPr>
          <w:rFonts w:ascii="Times New Roman" w:eastAsia="Calibri" w:hAnsi="Times New Roman" w:cs="Times New Roman"/>
          <w:sz w:val="24"/>
          <w:szCs w:val="24"/>
        </w:rPr>
        <w:t xml:space="preserve"> (</w:t>
      </w:r>
      <w:proofErr w:type="spellStart"/>
      <w:r w:rsidRPr="0040545C">
        <w:rPr>
          <w:rFonts w:ascii="Times New Roman" w:eastAsia="Calibri" w:hAnsi="Times New Roman" w:cs="Times New Roman"/>
          <w:sz w:val="24"/>
          <w:szCs w:val="24"/>
        </w:rPr>
        <w:t>eds</w:t>
      </w:r>
      <w:proofErr w:type="spellEnd"/>
      <w:r w:rsidRPr="0040545C">
        <w:rPr>
          <w:rFonts w:ascii="Times New Roman" w:eastAsia="Calibri" w:hAnsi="Times New Roman" w:cs="Times New Roman"/>
          <w:sz w:val="24"/>
          <w:szCs w:val="24"/>
        </w:rPr>
        <w:t xml:space="preserve">) </w:t>
      </w:r>
      <w:r w:rsidRPr="0040545C">
        <w:rPr>
          <w:rFonts w:ascii="Times New Roman" w:eastAsia="Calibri" w:hAnsi="Times New Roman" w:cs="Times New Roman"/>
          <w:i/>
          <w:sz w:val="24"/>
          <w:szCs w:val="24"/>
        </w:rPr>
        <w:t xml:space="preserve">The Changing Constitution </w:t>
      </w:r>
      <w:r w:rsidRPr="0040545C">
        <w:rPr>
          <w:rFonts w:ascii="Times New Roman" w:eastAsia="Calibri" w:hAnsi="Times New Roman" w:cs="Times New Roman"/>
          <w:sz w:val="24"/>
          <w:szCs w:val="24"/>
        </w:rPr>
        <w:t>(9</w:t>
      </w:r>
      <w:r w:rsidRPr="0040545C">
        <w:rPr>
          <w:rFonts w:ascii="Times New Roman" w:eastAsia="Calibri" w:hAnsi="Times New Roman" w:cs="Times New Roman"/>
          <w:sz w:val="24"/>
          <w:szCs w:val="24"/>
          <w:vertAlign w:val="superscript"/>
        </w:rPr>
        <w:t>th</w:t>
      </w:r>
      <w:r w:rsidRPr="0040545C">
        <w:rPr>
          <w:rFonts w:ascii="Times New Roman" w:eastAsia="Calibri" w:hAnsi="Times New Roman" w:cs="Times New Roman"/>
          <w:sz w:val="24"/>
          <w:szCs w:val="24"/>
        </w:rPr>
        <w:t xml:space="preserve"> </w:t>
      </w:r>
      <w:proofErr w:type="spellStart"/>
      <w:r w:rsidRPr="0040545C">
        <w:rPr>
          <w:rFonts w:ascii="Times New Roman" w:eastAsia="Calibri" w:hAnsi="Times New Roman" w:cs="Times New Roman"/>
          <w:sz w:val="24"/>
          <w:szCs w:val="24"/>
        </w:rPr>
        <w:t>edn</w:t>
      </w:r>
      <w:proofErr w:type="spellEnd"/>
      <w:r w:rsidRPr="0040545C">
        <w:rPr>
          <w:rFonts w:ascii="Times New Roman" w:eastAsia="Calibri" w:hAnsi="Times New Roman" w:cs="Times New Roman"/>
          <w:sz w:val="24"/>
          <w:szCs w:val="24"/>
        </w:rPr>
        <w:t>, OUP 2019),</w:t>
      </w:r>
      <w:r w:rsidRPr="0040545C">
        <w:rPr>
          <w:rFonts w:ascii="Times New Roman" w:eastAsia="Calibri" w:hAnsi="Times New Roman" w:cs="Times New Roman"/>
          <w:i/>
          <w:sz w:val="24"/>
          <w:szCs w:val="24"/>
        </w:rPr>
        <w:t xml:space="preserve"> (</w:t>
      </w:r>
      <w:r w:rsidRPr="0040545C">
        <w:rPr>
          <w:rFonts w:ascii="Times New Roman" w:eastAsia="Calibri" w:hAnsi="Times New Roman" w:cs="Times New Roman"/>
          <w:i/>
          <w:sz w:val="24"/>
          <w:szCs w:val="24"/>
          <w:u w:val="single"/>
        </w:rPr>
        <w:t>especially</w:t>
      </w:r>
      <w:r w:rsidRPr="0040545C">
        <w:rPr>
          <w:rFonts w:ascii="Times New Roman" w:eastAsia="Calibri" w:hAnsi="Times New Roman" w:cs="Times New Roman"/>
          <w:i/>
          <w:sz w:val="24"/>
          <w:szCs w:val="24"/>
        </w:rPr>
        <w:t xml:space="preserve"> pp. 29-31 and</w:t>
      </w:r>
      <w:r w:rsidRPr="0040545C">
        <w:rPr>
          <w:rFonts w:ascii="Times New Roman" w:eastAsia="Calibri" w:hAnsi="Times New Roman" w:cs="Times New Roman"/>
          <w:sz w:val="24"/>
          <w:szCs w:val="24"/>
        </w:rPr>
        <w:t xml:space="preserve"> </w:t>
      </w:r>
      <w:r w:rsidRPr="0040545C">
        <w:rPr>
          <w:rFonts w:ascii="Times New Roman" w:eastAsia="Calibri" w:hAnsi="Times New Roman" w:cs="Times New Roman"/>
          <w:i/>
          <w:sz w:val="24"/>
          <w:szCs w:val="24"/>
        </w:rPr>
        <w:t>39-57)</w:t>
      </w:r>
      <w:r w:rsidRPr="0040545C">
        <w:rPr>
          <w:rFonts w:ascii="Times New Roman" w:eastAsia="Calibri" w:hAnsi="Times New Roman" w:cs="Times New Roman"/>
          <w:sz w:val="24"/>
          <w:szCs w:val="24"/>
        </w:rPr>
        <w:t xml:space="preserve">  </w:t>
      </w:r>
      <w:hyperlink r:id="rId9" w:history="1">
        <w:r w:rsidRPr="0040545C">
          <w:rPr>
            <w:rFonts w:ascii="Times New Roman" w:eastAsia="Calibri" w:hAnsi="Times New Roman" w:cs="Times New Roman"/>
            <w:color w:val="0563C1"/>
            <w:sz w:val="24"/>
            <w:szCs w:val="24"/>
            <w:u w:val="single"/>
          </w:rPr>
          <w:t>[LINK]</w:t>
        </w:r>
      </w:hyperlink>
    </w:p>
    <w:p w:rsidR="009F18EB" w:rsidRPr="0040545C" w:rsidRDefault="009F18EB" w:rsidP="009F18EB">
      <w:pPr>
        <w:spacing w:after="0" w:line="276" w:lineRule="auto"/>
        <w:ind w:left="360"/>
        <w:contextualSpacing/>
        <w:jc w:val="both"/>
        <w:rPr>
          <w:rFonts w:ascii="Times New Roman" w:eastAsia="Calibri" w:hAnsi="Times New Roman" w:cs="Times New Roman"/>
          <w:sz w:val="24"/>
          <w:szCs w:val="24"/>
        </w:rPr>
      </w:pPr>
    </w:p>
    <w:p w:rsidR="009F18EB" w:rsidRPr="0040545C" w:rsidRDefault="009F18EB" w:rsidP="009F18EB">
      <w:pPr>
        <w:numPr>
          <w:ilvl w:val="0"/>
          <w:numId w:val="12"/>
        </w:numPr>
        <w:spacing w:after="0" w:line="276" w:lineRule="auto"/>
        <w:contextualSpacing/>
        <w:jc w:val="both"/>
        <w:rPr>
          <w:rFonts w:ascii="Times New Roman" w:eastAsia="Times New Roman" w:hAnsi="Times New Roman" w:cs="Times New Roman"/>
          <w:sz w:val="24"/>
          <w:szCs w:val="24"/>
          <w:lang w:eastAsia="en-GB" w:bidi="he-IL"/>
        </w:rPr>
      </w:pPr>
      <w:r w:rsidRPr="0040545C">
        <w:rPr>
          <w:rFonts w:ascii="Times New Roman" w:eastAsia="Times New Roman" w:hAnsi="Times New Roman" w:cs="Times New Roman"/>
          <w:sz w:val="24"/>
          <w:szCs w:val="24"/>
          <w:lang w:eastAsia="en-GB" w:bidi="he-IL"/>
        </w:rPr>
        <w:t xml:space="preserve">Tom Mullen, ‘Reflections on </w:t>
      </w:r>
      <w:r w:rsidRPr="0040545C">
        <w:rPr>
          <w:rFonts w:ascii="Times New Roman" w:eastAsia="Times New Roman" w:hAnsi="Times New Roman" w:cs="Times New Roman"/>
          <w:i/>
          <w:iCs/>
          <w:sz w:val="24"/>
          <w:szCs w:val="24"/>
          <w:lang w:eastAsia="en-GB" w:bidi="he-IL"/>
        </w:rPr>
        <w:t>Jackson v Attorney General’</w:t>
      </w:r>
      <w:r w:rsidRPr="0040545C">
        <w:rPr>
          <w:rFonts w:ascii="Times New Roman" w:eastAsia="Times New Roman" w:hAnsi="Times New Roman" w:cs="Times New Roman"/>
          <w:sz w:val="24"/>
          <w:szCs w:val="24"/>
          <w:lang w:eastAsia="en-GB" w:bidi="he-IL"/>
        </w:rPr>
        <w:t xml:space="preserve"> (2007) (27) Legal Studies 1 </w:t>
      </w:r>
      <w:hyperlink r:id="rId10" w:history="1">
        <w:r w:rsidRPr="0040545C">
          <w:rPr>
            <w:rFonts w:ascii="Times New Roman" w:eastAsia="Times New Roman" w:hAnsi="Times New Roman" w:cs="Times New Roman"/>
            <w:color w:val="0563C1"/>
            <w:sz w:val="24"/>
            <w:szCs w:val="24"/>
            <w:u w:val="single"/>
            <w:lang w:eastAsia="en-GB" w:bidi="he-IL"/>
          </w:rPr>
          <w:t>[LINK]</w:t>
        </w:r>
      </w:hyperlink>
    </w:p>
    <w:p w:rsidR="009F18EB" w:rsidRPr="0040545C" w:rsidRDefault="009F18EB" w:rsidP="009F18EB">
      <w:pPr>
        <w:spacing w:after="0" w:line="276" w:lineRule="auto"/>
        <w:ind w:left="720"/>
        <w:contextualSpacing/>
        <w:jc w:val="both"/>
        <w:rPr>
          <w:rFonts w:ascii="Times New Roman" w:eastAsia="Times New Roman" w:hAnsi="Times New Roman" w:cs="Times New Roman"/>
          <w:sz w:val="24"/>
          <w:szCs w:val="24"/>
          <w:lang w:eastAsia="en-GB" w:bidi="he-IL"/>
        </w:rPr>
      </w:pPr>
    </w:p>
    <w:p w:rsidR="009F18EB" w:rsidRPr="0040545C" w:rsidRDefault="009F18EB" w:rsidP="009F18EB">
      <w:pPr>
        <w:spacing w:after="0" w:line="276" w:lineRule="auto"/>
        <w:jc w:val="both"/>
        <w:outlineLvl w:val="3"/>
        <w:rPr>
          <w:rFonts w:ascii="Times New Roman" w:eastAsia="Calibri" w:hAnsi="Times New Roman" w:cs="Times New Roman"/>
          <w:i/>
          <w:sz w:val="24"/>
          <w:szCs w:val="24"/>
          <w:u w:val="single"/>
        </w:rPr>
      </w:pPr>
      <w:r w:rsidRPr="0040545C">
        <w:rPr>
          <w:rFonts w:ascii="Times New Roman" w:eastAsia="Calibri" w:hAnsi="Times New Roman" w:cs="Times New Roman"/>
          <w:i/>
          <w:sz w:val="24"/>
          <w:szCs w:val="24"/>
          <w:u w:val="single"/>
        </w:rPr>
        <w:t xml:space="preserve">Optional skills reading – Reading Cases to Distinguish Ratio </w:t>
      </w:r>
      <w:proofErr w:type="spellStart"/>
      <w:r w:rsidRPr="0040545C">
        <w:rPr>
          <w:rFonts w:ascii="Times New Roman" w:eastAsia="Calibri" w:hAnsi="Times New Roman" w:cs="Times New Roman"/>
          <w:i/>
          <w:sz w:val="24"/>
          <w:szCs w:val="24"/>
          <w:u w:val="single"/>
        </w:rPr>
        <w:t>Decidendi</w:t>
      </w:r>
      <w:proofErr w:type="spellEnd"/>
      <w:r w:rsidRPr="0040545C">
        <w:rPr>
          <w:rFonts w:ascii="Times New Roman" w:eastAsia="Calibri" w:hAnsi="Times New Roman" w:cs="Times New Roman"/>
          <w:i/>
          <w:sz w:val="24"/>
          <w:szCs w:val="24"/>
          <w:u w:val="single"/>
        </w:rPr>
        <w:t xml:space="preserve"> and Obiter Dictum</w:t>
      </w:r>
    </w:p>
    <w:p w:rsidR="009F18EB" w:rsidRPr="0040545C" w:rsidRDefault="009F18EB" w:rsidP="009F18EB">
      <w:pPr>
        <w:spacing w:after="0" w:line="276" w:lineRule="auto"/>
        <w:jc w:val="both"/>
        <w:rPr>
          <w:rFonts w:ascii="Times New Roman" w:eastAsia="Calibri" w:hAnsi="Times New Roman" w:cs="Times New Roman"/>
          <w:sz w:val="24"/>
          <w:szCs w:val="24"/>
        </w:rPr>
      </w:pPr>
    </w:p>
    <w:p w:rsidR="009F18EB" w:rsidRPr="0040545C" w:rsidRDefault="009F18EB" w:rsidP="009F18EB">
      <w:pPr>
        <w:numPr>
          <w:ilvl w:val="0"/>
          <w:numId w:val="13"/>
        </w:numPr>
        <w:spacing w:after="0" w:line="276" w:lineRule="auto"/>
        <w:contextualSpacing/>
        <w:jc w:val="both"/>
        <w:rPr>
          <w:rFonts w:ascii="Times New Roman" w:eastAsia="Calibri" w:hAnsi="Times New Roman" w:cs="Times New Roman"/>
          <w:i/>
          <w:sz w:val="24"/>
          <w:szCs w:val="24"/>
        </w:rPr>
      </w:pPr>
      <w:r w:rsidRPr="0040545C">
        <w:rPr>
          <w:rFonts w:ascii="Times New Roman" w:eastAsia="Calibri" w:hAnsi="Times New Roman" w:cs="Times New Roman"/>
          <w:i/>
          <w:sz w:val="24"/>
          <w:szCs w:val="24"/>
        </w:rPr>
        <w:t xml:space="preserve">Emily Finch &amp; Stefan </w:t>
      </w:r>
      <w:proofErr w:type="spellStart"/>
      <w:r w:rsidRPr="0040545C">
        <w:rPr>
          <w:rFonts w:ascii="Times New Roman" w:eastAsia="Calibri" w:hAnsi="Times New Roman" w:cs="Times New Roman"/>
          <w:i/>
          <w:sz w:val="24"/>
          <w:szCs w:val="24"/>
        </w:rPr>
        <w:t>Fafinski</w:t>
      </w:r>
      <w:proofErr w:type="spellEnd"/>
      <w:r w:rsidRPr="0040545C">
        <w:rPr>
          <w:rFonts w:ascii="Times New Roman" w:eastAsia="Calibri" w:hAnsi="Times New Roman" w:cs="Times New Roman"/>
          <w:i/>
          <w:sz w:val="24"/>
          <w:szCs w:val="24"/>
        </w:rPr>
        <w:t xml:space="preserve">, </w:t>
      </w:r>
      <w:r w:rsidRPr="0040545C">
        <w:rPr>
          <w:rFonts w:ascii="Times New Roman" w:eastAsia="Calibri" w:hAnsi="Times New Roman" w:cs="Times New Roman"/>
          <w:sz w:val="24"/>
          <w:szCs w:val="24"/>
        </w:rPr>
        <w:t>Legal Skills</w:t>
      </w:r>
      <w:r w:rsidRPr="0040545C">
        <w:rPr>
          <w:rFonts w:ascii="Times New Roman" w:eastAsia="Calibri" w:hAnsi="Times New Roman" w:cs="Times New Roman"/>
          <w:i/>
          <w:sz w:val="24"/>
          <w:szCs w:val="24"/>
        </w:rPr>
        <w:t xml:space="preserve"> (7th </w:t>
      </w:r>
      <w:proofErr w:type="spellStart"/>
      <w:r w:rsidRPr="0040545C">
        <w:rPr>
          <w:rFonts w:ascii="Times New Roman" w:eastAsia="Calibri" w:hAnsi="Times New Roman" w:cs="Times New Roman"/>
          <w:i/>
          <w:sz w:val="24"/>
          <w:szCs w:val="24"/>
        </w:rPr>
        <w:t>edn</w:t>
      </w:r>
      <w:proofErr w:type="spellEnd"/>
      <w:r w:rsidRPr="0040545C">
        <w:rPr>
          <w:rFonts w:ascii="Times New Roman" w:eastAsia="Calibri" w:hAnsi="Times New Roman" w:cs="Times New Roman"/>
          <w:i/>
          <w:sz w:val="24"/>
          <w:szCs w:val="24"/>
        </w:rPr>
        <w:t xml:space="preserve">, OUP 2019), Chapter 7, </w:t>
      </w:r>
      <w:r w:rsidRPr="0040545C">
        <w:rPr>
          <w:rFonts w:ascii="Times New Roman" w:eastAsia="Calibri" w:hAnsi="Times New Roman" w:cs="Times New Roman"/>
          <w:i/>
          <w:sz w:val="24"/>
          <w:szCs w:val="24"/>
          <w:u w:val="single"/>
        </w:rPr>
        <w:t>especially from 7.3 to end</w:t>
      </w:r>
      <w:r w:rsidRPr="0040545C">
        <w:rPr>
          <w:rFonts w:ascii="Times New Roman" w:eastAsia="Calibri" w:hAnsi="Times New Roman" w:cs="Times New Roman"/>
          <w:sz w:val="24"/>
          <w:szCs w:val="24"/>
        </w:rPr>
        <w:t xml:space="preserve"> </w:t>
      </w:r>
      <w:hyperlink r:id="rId11" w:anchor="he-9780198831273-chapter-7-div1-26" w:history="1">
        <w:r w:rsidRPr="0040545C">
          <w:rPr>
            <w:rFonts w:ascii="Times New Roman" w:eastAsia="Calibri" w:hAnsi="Times New Roman" w:cs="Times New Roman"/>
            <w:color w:val="0563C1"/>
            <w:sz w:val="24"/>
            <w:szCs w:val="24"/>
            <w:u w:val="single"/>
          </w:rPr>
          <w:t>[LINK]</w:t>
        </w:r>
      </w:hyperlink>
    </w:p>
    <w:p w:rsidR="009F18EB" w:rsidRPr="0040545C" w:rsidRDefault="009F18EB" w:rsidP="009F18EB">
      <w:pPr>
        <w:spacing w:after="0" w:line="276" w:lineRule="auto"/>
        <w:ind w:left="360"/>
        <w:contextualSpacing/>
        <w:jc w:val="both"/>
        <w:rPr>
          <w:rFonts w:ascii="Times New Roman" w:eastAsia="Calibri" w:hAnsi="Times New Roman" w:cs="Times New Roman"/>
          <w:i/>
          <w:sz w:val="24"/>
          <w:szCs w:val="24"/>
        </w:rPr>
      </w:pPr>
    </w:p>
    <w:p w:rsidR="009F18EB" w:rsidRPr="0040545C" w:rsidRDefault="009F18EB" w:rsidP="009F18EB">
      <w:pPr>
        <w:spacing w:after="0" w:line="276" w:lineRule="auto"/>
        <w:outlineLvl w:val="2"/>
        <w:rPr>
          <w:rFonts w:ascii="Times New Roman" w:eastAsia="Calibri" w:hAnsi="Times New Roman" w:cs="Times New Roman"/>
          <w:b/>
          <w:sz w:val="28"/>
          <w:szCs w:val="24"/>
        </w:rPr>
      </w:pPr>
      <w:r w:rsidRPr="0040545C">
        <w:rPr>
          <w:rFonts w:ascii="Times New Roman" w:eastAsia="Calibri" w:hAnsi="Times New Roman" w:cs="Times New Roman"/>
          <w:b/>
          <w:sz w:val="28"/>
          <w:szCs w:val="24"/>
        </w:rPr>
        <w:t>Questions</w:t>
      </w:r>
    </w:p>
    <w:p w:rsidR="009F18EB" w:rsidRPr="0040545C" w:rsidRDefault="009F18EB" w:rsidP="009F18EB">
      <w:pPr>
        <w:spacing w:after="0" w:line="276" w:lineRule="auto"/>
        <w:jc w:val="both"/>
        <w:rPr>
          <w:rFonts w:ascii="Times New Roman" w:eastAsia="Calibri" w:hAnsi="Times New Roman" w:cs="Times New Roman"/>
          <w:b/>
          <w:sz w:val="24"/>
          <w:szCs w:val="24"/>
        </w:rPr>
      </w:pPr>
    </w:p>
    <w:p w:rsidR="009F18EB" w:rsidRPr="0040545C" w:rsidRDefault="009F18EB" w:rsidP="009F18EB">
      <w:pPr>
        <w:spacing w:after="0" w:line="276" w:lineRule="auto"/>
        <w:jc w:val="both"/>
        <w:outlineLvl w:val="3"/>
        <w:rPr>
          <w:rFonts w:ascii="Times New Roman" w:eastAsia="Calibri" w:hAnsi="Times New Roman" w:cs="Times New Roman"/>
          <w:sz w:val="24"/>
          <w:szCs w:val="24"/>
          <w:u w:val="single"/>
        </w:rPr>
      </w:pPr>
      <w:r w:rsidRPr="0040545C">
        <w:rPr>
          <w:rFonts w:ascii="Times New Roman" w:eastAsia="Calibri" w:hAnsi="Times New Roman" w:cs="Times New Roman"/>
          <w:sz w:val="24"/>
          <w:szCs w:val="24"/>
          <w:u w:val="single"/>
        </w:rPr>
        <w:t>Quick Questions:</w:t>
      </w:r>
    </w:p>
    <w:p w:rsidR="009F18EB" w:rsidRPr="0040545C" w:rsidRDefault="009F18EB" w:rsidP="009F18EB">
      <w:pPr>
        <w:spacing w:after="0" w:line="276" w:lineRule="auto"/>
        <w:jc w:val="both"/>
        <w:rPr>
          <w:rFonts w:ascii="Times New Roman" w:eastAsia="Calibri" w:hAnsi="Times New Roman" w:cs="Times New Roman"/>
          <w:b/>
          <w:sz w:val="24"/>
          <w:szCs w:val="24"/>
        </w:rPr>
      </w:pPr>
    </w:p>
    <w:p w:rsidR="009F18EB" w:rsidRPr="0040545C" w:rsidRDefault="009F18EB" w:rsidP="009F18EB">
      <w:pPr>
        <w:numPr>
          <w:ilvl w:val="0"/>
          <w:numId w:val="16"/>
        </w:numPr>
        <w:spacing w:after="0" w:line="276" w:lineRule="auto"/>
        <w:contextualSpacing/>
        <w:jc w:val="both"/>
        <w:rPr>
          <w:rFonts w:ascii="Times New Roman" w:eastAsia="Calibri" w:hAnsi="Times New Roman" w:cs="Times New Roman"/>
          <w:sz w:val="24"/>
          <w:szCs w:val="24"/>
        </w:rPr>
      </w:pPr>
      <w:r w:rsidRPr="0040545C">
        <w:rPr>
          <w:rFonts w:ascii="Times New Roman" w:eastAsia="Calibri" w:hAnsi="Times New Roman" w:cs="Times New Roman"/>
          <w:sz w:val="24"/>
          <w:szCs w:val="24"/>
        </w:rPr>
        <w:t>According to A.V. Dicey, what is ‘Parliamentary Sovereignty’?</w:t>
      </w:r>
    </w:p>
    <w:p w:rsidR="009F18EB" w:rsidRPr="0040545C" w:rsidRDefault="009F18EB" w:rsidP="009F18EB">
      <w:pPr>
        <w:spacing w:after="0" w:line="276" w:lineRule="auto"/>
        <w:ind w:left="360"/>
        <w:contextualSpacing/>
        <w:jc w:val="both"/>
        <w:rPr>
          <w:rFonts w:ascii="Times New Roman" w:eastAsia="Calibri" w:hAnsi="Times New Roman" w:cs="Times New Roman"/>
          <w:sz w:val="24"/>
          <w:szCs w:val="24"/>
        </w:rPr>
      </w:pPr>
    </w:p>
    <w:p w:rsidR="009F18EB" w:rsidRPr="0040545C" w:rsidRDefault="009F18EB" w:rsidP="009F18EB">
      <w:pPr>
        <w:numPr>
          <w:ilvl w:val="0"/>
          <w:numId w:val="16"/>
        </w:numPr>
        <w:spacing w:after="0" w:line="276" w:lineRule="auto"/>
        <w:contextualSpacing/>
        <w:jc w:val="both"/>
        <w:rPr>
          <w:rFonts w:ascii="Times New Roman" w:eastAsia="Calibri" w:hAnsi="Times New Roman" w:cs="Times New Roman"/>
          <w:sz w:val="24"/>
          <w:szCs w:val="24"/>
        </w:rPr>
      </w:pPr>
      <w:r w:rsidRPr="0040545C">
        <w:rPr>
          <w:rFonts w:ascii="Times New Roman" w:eastAsia="Calibri" w:hAnsi="Times New Roman" w:cs="Times New Roman"/>
          <w:sz w:val="24"/>
          <w:szCs w:val="24"/>
        </w:rPr>
        <w:t xml:space="preserve">Is there legal authority (case law) that supports </w:t>
      </w:r>
      <w:proofErr w:type="spellStart"/>
      <w:r w:rsidRPr="0040545C">
        <w:rPr>
          <w:rFonts w:ascii="Times New Roman" w:eastAsia="Calibri" w:hAnsi="Times New Roman" w:cs="Times New Roman"/>
          <w:sz w:val="24"/>
          <w:szCs w:val="24"/>
        </w:rPr>
        <w:t>Dicey’s</w:t>
      </w:r>
      <w:proofErr w:type="spellEnd"/>
      <w:r w:rsidRPr="0040545C">
        <w:rPr>
          <w:rFonts w:ascii="Times New Roman" w:eastAsia="Calibri" w:hAnsi="Times New Roman" w:cs="Times New Roman"/>
          <w:sz w:val="24"/>
          <w:szCs w:val="24"/>
        </w:rPr>
        <w:t xml:space="preserve"> definition?</w:t>
      </w:r>
    </w:p>
    <w:p w:rsidR="009F18EB" w:rsidRPr="0040545C" w:rsidRDefault="009F18EB" w:rsidP="009F18EB">
      <w:pPr>
        <w:spacing w:after="0" w:line="276" w:lineRule="auto"/>
        <w:jc w:val="both"/>
        <w:rPr>
          <w:rFonts w:ascii="Times New Roman" w:eastAsia="Calibri" w:hAnsi="Times New Roman" w:cs="Times New Roman"/>
          <w:sz w:val="24"/>
          <w:szCs w:val="24"/>
        </w:rPr>
      </w:pPr>
    </w:p>
    <w:p w:rsidR="009F18EB" w:rsidRPr="0040545C" w:rsidRDefault="009F18EB" w:rsidP="009F18EB">
      <w:pPr>
        <w:numPr>
          <w:ilvl w:val="0"/>
          <w:numId w:val="16"/>
        </w:numPr>
        <w:spacing w:after="0" w:line="276" w:lineRule="auto"/>
        <w:contextualSpacing/>
        <w:jc w:val="both"/>
        <w:rPr>
          <w:rFonts w:ascii="Times New Roman" w:eastAsia="Calibri" w:hAnsi="Times New Roman" w:cs="Times New Roman"/>
          <w:sz w:val="24"/>
          <w:szCs w:val="24"/>
        </w:rPr>
      </w:pPr>
      <w:r w:rsidRPr="0040545C">
        <w:rPr>
          <w:rFonts w:ascii="Times New Roman" w:eastAsia="Calibri" w:hAnsi="Times New Roman" w:cs="Times New Roman"/>
          <w:sz w:val="24"/>
          <w:szCs w:val="24"/>
        </w:rPr>
        <w:t xml:space="preserve">Read </w:t>
      </w:r>
      <w:r w:rsidRPr="0040545C">
        <w:rPr>
          <w:rFonts w:ascii="Times New Roman" w:eastAsia="Calibri" w:hAnsi="Times New Roman" w:cs="Times New Roman"/>
          <w:i/>
          <w:sz w:val="24"/>
          <w:szCs w:val="24"/>
        </w:rPr>
        <w:t>Jackson</w:t>
      </w:r>
      <w:r w:rsidRPr="0040545C">
        <w:rPr>
          <w:rFonts w:ascii="Times New Roman" w:eastAsia="Calibri" w:hAnsi="Times New Roman" w:cs="Times New Roman"/>
          <w:sz w:val="24"/>
          <w:szCs w:val="24"/>
        </w:rPr>
        <w:t xml:space="preserve"> [2005] UKHL 56 and answer the following questions. The most helpful paragraphs of the judgments are identified in brackets after each question.</w:t>
      </w:r>
    </w:p>
    <w:p w:rsidR="009F18EB" w:rsidRPr="0040545C" w:rsidRDefault="009F18EB" w:rsidP="009F18EB">
      <w:pPr>
        <w:spacing w:after="0" w:line="276" w:lineRule="auto"/>
        <w:ind w:left="720"/>
        <w:contextualSpacing/>
        <w:jc w:val="both"/>
        <w:rPr>
          <w:rFonts w:ascii="Times New Roman" w:eastAsia="Calibri" w:hAnsi="Times New Roman" w:cs="Times New Roman"/>
          <w:sz w:val="24"/>
          <w:szCs w:val="24"/>
        </w:rPr>
      </w:pPr>
    </w:p>
    <w:p w:rsidR="009F18EB" w:rsidRPr="0040545C" w:rsidRDefault="009F18EB" w:rsidP="009F18EB">
      <w:pPr>
        <w:numPr>
          <w:ilvl w:val="1"/>
          <w:numId w:val="16"/>
        </w:numPr>
        <w:spacing w:after="0" w:line="276" w:lineRule="auto"/>
        <w:contextualSpacing/>
        <w:jc w:val="both"/>
        <w:rPr>
          <w:rFonts w:ascii="Times New Roman" w:eastAsia="Calibri" w:hAnsi="Times New Roman" w:cs="Times New Roman"/>
          <w:sz w:val="24"/>
          <w:szCs w:val="24"/>
        </w:rPr>
      </w:pPr>
      <w:r w:rsidRPr="0040545C">
        <w:rPr>
          <w:rFonts w:ascii="Times New Roman" w:eastAsia="Calibri" w:hAnsi="Times New Roman" w:cs="Times New Roman"/>
          <w:sz w:val="24"/>
          <w:szCs w:val="24"/>
        </w:rPr>
        <w:t>What are the facts of the case and the central legal issue for the court to decide? (</w:t>
      </w:r>
      <w:r w:rsidRPr="0040545C">
        <w:rPr>
          <w:rFonts w:ascii="Times New Roman" w:eastAsia="Calibri" w:hAnsi="Times New Roman" w:cs="Times New Roman"/>
          <w:i/>
          <w:sz w:val="24"/>
          <w:szCs w:val="24"/>
        </w:rPr>
        <w:t>paras. 1-6</w:t>
      </w:r>
      <w:r w:rsidRPr="0040545C">
        <w:rPr>
          <w:rFonts w:ascii="Times New Roman" w:eastAsia="Calibri" w:hAnsi="Times New Roman" w:cs="Times New Roman"/>
          <w:sz w:val="24"/>
          <w:szCs w:val="24"/>
        </w:rPr>
        <w:t xml:space="preserve">) </w:t>
      </w:r>
    </w:p>
    <w:p w:rsidR="009F18EB" w:rsidRPr="0040545C" w:rsidRDefault="009F18EB" w:rsidP="009F18EB">
      <w:pPr>
        <w:numPr>
          <w:ilvl w:val="1"/>
          <w:numId w:val="16"/>
        </w:numPr>
        <w:spacing w:after="0" w:line="276" w:lineRule="auto"/>
        <w:contextualSpacing/>
        <w:jc w:val="both"/>
        <w:rPr>
          <w:rFonts w:ascii="Times New Roman" w:eastAsia="Calibri" w:hAnsi="Times New Roman" w:cs="Times New Roman"/>
          <w:sz w:val="24"/>
          <w:szCs w:val="24"/>
        </w:rPr>
      </w:pPr>
      <w:r w:rsidRPr="0040545C">
        <w:rPr>
          <w:rFonts w:ascii="Times New Roman" w:eastAsia="Calibri" w:hAnsi="Times New Roman" w:cs="Times New Roman"/>
          <w:sz w:val="24"/>
          <w:szCs w:val="24"/>
        </w:rPr>
        <w:t xml:space="preserve">What was the </w:t>
      </w:r>
      <w:hyperlink r:id="rId12" w:history="1">
        <w:r w:rsidRPr="0040545C">
          <w:rPr>
            <w:rFonts w:ascii="Times New Roman" w:eastAsia="Calibri" w:hAnsi="Times New Roman" w:cs="Times New Roman"/>
            <w:i/>
            <w:color w:val="0563C1"/>
            <w:sz w:val="24"/>
            <w:szCs w:val="24"/>
            <w:u w:val="single"/>
          </w:rPr>
          <w:t xml:space="preserve">ratio </w:t>
        </w:r>
        <w:proofErr w:type="spellStart"/>
        <w:r w:rsidRPr="0040545C">
          <w:rPr>
            <w:rFonts w:ascii="Times New Roman" w:eastAsia="Calibri" w:hAnsi="Times New Roman" w:cs="Times New Roman"/>
            <w:i/>
            <w:color w:val="0563C1"/>
            <w:sz w:val="24"/>
            <w:szCs w:val="24"/>
            <w:u w:val="single"/>
          </w:rPr>
          <w:t>decidendi</w:t>
        </w:r>
        <w:proofErr w:type="spellEnd"/>
      </w:hyperlink>
      <w:r w:rsidRPr="0040545C">
        <w:rPr>
          <w:rFonts w:ascii="Times New Roman" w:eastAsia="Calibri" w:hAnsi="Times New Roman" w:cs="Times New Roman"/>
          <w:i/>
          <w:sz w:val="24"/>
          <w:szCs w:val="24"/>
        </w:rPr>
        <w:t xml:space="preserve"> </w:t>
      </w:r>
      <w:r w:rsidRPr="0040545C">
        <w:rPr>
          <w:rFonts w:ascii="Times New Roman" w:eastAsia="Calibri" w:hAnsi="Times New Roman" w:cs="Times New Roman"/>
          <w:sz w:val="24"/>
          <w:szCs w:val="24"/>
        </w:rPr>
        <w:t>of the case? (</w:t>
      </w:r>
      <w:proofErr w:type="gramStart"/>
      <w:r w:rsidRPr="0040545C">
        <w:rPr>
          <w:rFonts w:ascii="Times New Roman" w:eastAsia="Calibri" w:hAnsi="Times New Roman" w:cs="Times New Roman"/>
          <w:sz w:val="24"/>
          <w:szCs w:val="24"/>
        </w:rPr>
        <w:t>i.e</w:t>
      </w:r>
      <w:proofErr w:type="gramEnd"/>
      <w:r w:rsidRPr="0040545C">
        <w:rPr>
          <w:rFonts w:ascii="Times New Roman" w:eastAsia="Calibri" w:hAnsi="Times New Roman" w:cs="Times New Roman"/>
          <w:sz w:val="24"/>
          <w:szCs w:val="24"/>
        </w:rPr>
        <w:t>. what was the court’s decision on the central legal issue and what was its reasoning?)</w:t>
      </w:r>
      <w:r w:rsidRPr="0040545C">
        <w:rPr>
          <w:rFonts w:ascii="Times New Roman" w:eastAsia="Calibri" w:hAnsi="Times New Roman" w:cs="Times New Roman"/>
          <w:i/>
          <w:sz w:val="24"/>
          <w:szCs w:val="24"/>
        </w:rPr>
        <w:t xml:space="preserve"> </w:t>
      </w:r>
      <w:r w:rsidRPr="0040545C">
        <w:rPr>
          <w:rFonts w:ascii="Times New Roman" w:eastAsia="Calibri" w:hAnsi="Times New Roman" w:cs="Times New Roman"/>
          <w:sz w:val="24"/>
          <w:szCs w:val="24"/>
        </w:rPr>
        <w:t>(</w:t>
      </w:r>
      <w:r w:rsidRPr="0040545C">
        <w:rPr>
          <w:rFonts w:ascii="Times New Roman" w:eastAsia="Calibri" w:hAnsi="Times New Roman" w:cs="Times New Roman"/>
          <w:i/>
          <w:sz w:val="24"/>
          <w:szCs w:val="24"/>
        </w:rPr>
        <w:t>paras. 22-39</w:t>
      </w:r>
      <w:r w:rsidRPr="0040545C">
        <w:rPr>
          <w:rFonts w:ascii="Times New Roman" w:eastAsia="Calibri" w:hAnsi="Times New Roman" w:cs="Times New Roman"/>
          <w:sz w:val="24"/>
          <w:szCs w:val="24"/>
        </w:rPr>
        <w:t>)</w:t>
      </w:r>
    </w:p>
    <w:p w:rsidR="009F18EB" w:rsidRPr="0040545C" w:rsidRDefault="009F18EB" w:rsidP="009F18EB">
      <w:pPr>
        <w:numPr>
          <w:ilvl w:val="1"/>
          <w:numId w:val="16"/>
        </w:numPr>
        <w:spacing w:after="0" w:line="276" w:lineRule="auto"/>
        <w:contextualSpacing/>
        <w:jc w:val="both"/>
        <w:rPr>
          <w:rFonts w:ascii="Times New Roman" w:eastAsia="Calibri" w:hAnsi="Times New Roman" w:cs="Times New Roman"/>
          <w:sz w:val="24"/>
          <w:szCs w:val="24"/>
        </w:rPr>
      </w:pPr>
      <w:r w:rsidRPr="0040545C">
        <w:rPr>
          <w:rFonts w:ascii="Times New Roman" w:eastAsia="Calibri" w:hAnsi="Times New Roman" w:cs="Times New Roman"/>
          <w:sz w:val="24"/>
          <w:szCs w:val="24"/>
        </w:rPr>
        <w:lastRenderedPageBreak/>
        <w:t xml:space="preserve">What possible restrictions on Parliamentary Sovereignty are recognised in the </w:t>
      </w:r>
      <w:hyperlink r:id="rId13" w:history="1">
        <w:r w:rsidRPr="0040545C">
          <w:rPr>
            <w:rFonts w:ascii="Times New Roman" w:eastAsia="Calibri" w:hAnsi="Times New Roman" w:cs="Times New Roman"/>
            <w:i/>
            <w:color w:val="0563C1"/>
            <w:sz w:val="24"/>
            <w:szCs w:val="24"/>
            <w:u w:val="single"/>
          </w:rPr>
          <w:t>obiter dicta</w:t>
        </w:r>
      </w:hyperlink>
      <w:r w:rsidRPr="0040545C">
        <w:rPr>
          <w:rFonts w:ascii="Times New Roman" w:eastAsia="Calibri" w:hAnsi="Times New Roman" w:cs="Times New Roman"/>
          <w:sz w:val="24"/>
          <w:szCs w:val="24"/>
        </w:rPr>
        <w:t xml:space="preserve"> of Lord Steyn, Lord Hope, and Lady Hale? (</w:t>
      </w:r>
      <w:r w:rsidRPr="0040545C">
        <w:rPr>
          <w:rFonts w:ascii="Times New Roman" w:eastAsia="Calibri" w:hAnsi="Times New Roman" w:cs="Times New Roman"/>
          <w:i/>
          <w:sz w:val="24"/>
          <w:szCs w:val="24"/>
        </w:rPr>
        <w:t>paras. 102; 104-107; 159</w:t>
      </w:r>
      <w:r w:rsidRPr="0040545C">
        <w:rPr>
          <w:rFonts w:ascii="Times New Roman" w:eastAsia="Calibri" w:hAnsi="Times New Roman" w:cs="Times New Roman"/>
          <w:sz w:val="24"/>
          <w:szCs w:val="24"/>
        </w:rPr>
        <w:t>)</w:t>
      </w:r>
    </w:p>
    <w:p w:rsidR="009F18EB" w:rsidRPr="0040545C" w:rsidRDefault="009F18EB" w:rsidP="009F18EB">
      <w:pPr>
        <w:numPr>
          <w:ilvl w:val="1"/>
          <w:numId w:val="16"/>
        </w:numPr>
        <w:spacing w:after="0" w:line="276" w:lineRule="auto"/>
        <w:contextualSpacing/>
        <w:jc w:val="both"/>
        <w:rPr>
          <w:rFonts w:ascii="Times New Roman" w:eastAsia="Calibri" w:hAnsi="Times New Roman" w:cs="Times New Roman"/>
          <w:sz w:val="24"/>
          <w:szCs w:val="24"/>
        </w:rPr>
      </w:pPr>
      <w:r w:rsidRPr="0040545C">
        <w:rPr>
          <w:rFonts w:ascii="Times New Roman" w:eastAsia="Calibri" w:hAnsi="Times New Roman" w:cs="Times New Roman"/>
          <w:sz w:val="24"/>
          <w:szCs w:val="24"/>
        </w:rPr>
        <w:t>Do the judgments of Lord Steyn, Lord Hope, and Lady Hale firmly establish that there are legal limits to Parliamentary sovereignty? (</w:t>
      </w:r>
      <w:r w:rsidRPr="0040545C">
        <w:rPr>
          <w:rFonts w:ascii="Times New Roman" w:eastAsia="Calibri" w:hAnsi="Times New Roman" w:cs="Times New Roman"/>
          <w:i/>
          <w:sz w:val="24"/>
          <w:szCs w:val="24"/>
        </w:rPr>
        <w:t>paras. 102; 104-107; 159; 168</w:t>
      </w:r>
      <w:r w:rsidRPr="0040545C">
        <w:rPr>
          <w:rFonts w:ascii="Times New Roman" w:eastAsia="Calibri" w:hAnsi="Times New Roman" w:cs="Times New Roman"/>
          <w:sz w:val="24"/>
          <w:szCs w:val="24"/>
        </w:rPr>
        <w:t xml:space="preserve">) </w:t>
      </w:r>
    </w:p>
    <w:p w:rsidR="009F18EB" w:rsidRPr="0040545C" w:rsidRDefault="009F18EB" w:rsidP="009F18EB">
      <w:pPr>
        <w:spacing w:after="0" w:line="276" w:lineRule="auto"/>
        <w:jc w:val="both"/>
        <w:rPr>
          <w:rFonts w:ascii="Times New Roman" w:eastAsia="Calibri" w:hAnsi="Times New Roman" w:cs="Times New Roman"/>
          <w:sz w:val="24"/>
          <w:szCs w:val="24"/>
        </w:rPr>
      </w:pPr>
    </w:p>
    <w:p w:rsidR="009F18EB" w:rsidRPr="0040545C" w:rsidRDefault="009F18EB" w:rsidP="009F18EB">
      <w:pPr>
        <w:keepNext/>
        <w:spacing w:after="0" w:line="276" w:lineRule="auto"/>
        <w:jc w:val="both"/>
        <w:rPr>
          <w:rFonts w:ascii="Times New Roman" w:eastAsia="Calibri" w:hAnsi="Times New Roman" w:cs="Times New Roman"/>
          <w:sz w:val="24"/>
          <w:szCs w:val="24"/>
          <w:u w:val="single"/>
        </w:rPr>
      </w:pPr>
      <w:r w:rsidRPr="0040545C">
        <w:rPr>
          <w:rFonts w:ascii="Times New Roman" w:eastAsia="Calibri" w:hAnsi="Times New Roman" w:cs="Times New Roman"/>
          <w:sz w:val="24"/>
          <w:szCs w:val="24"/>
          <w:u w:val="single"/>
        </w:rPr>
        <w:t>Essay Question:</w:t>
      </w:r>
    </w:p>
    <w:p w:rsidR="009F18EB" w:rsidRPr="0040545C" w:rsidRDefault="009F18EB" w:rsidP="009F18EB">
      <w:pPr>
        <w:keepNext/>
        <w:spacing w:after="0" w:line="276" w:lineRule="auto"/>
        <w:jc w:val="both"/>
        <w:rPr>
          <w:rFonts w:ascii="Times New Roman" w:eastAsia="Calibri" w:hAnsi="Times New Roman" w:cs="Times New Roman"/>
          <w:sz w:val="24"/>
          <w:szCs w:val="24"/>
          <w:u w:val="single"/>
        </w:rPr>
      </w:pPr>
    </w:p>
    <w:p w:rsidR="009F18EB" w:rsidRPr="0040545C" w:rsidRDefault="009F18EB" w:rsidP="009F18EB">
      <w:pPr>
        <w:keepNext/>
        <w:numPr>
          <w:ilvl w:val="0"/>
          <w:numId w:val="17"/>
        </w:numPr>
        <w:spacing w:after="0" w:line="276" w:lineRule="auto"/>
        <w:contextualSpacing/>
        <w:jc w:val="both"/>
        <w:rPr>
          <w:rFonts w:ascii="Times New Roman" w:eastAsia="Calibri" w:hAnsi="Times New Roman" w:cs="Times New Roman"/>
          <w:sz w:val="24"/>
          <w:szCs w:val="24"/>
        </w:rPr>
      </w:pPr>
      <w:r w:rsidRPr="0040545C">
        <w:rPr>
          <w:rFonts w:ascii="Times New Roman" w:eastAsia="Calibri" w:hAnsi="Times New Roman" w:cs="Times New Roman"/>
          <w:sz w:val="24"/>
          <w:szCs w:val="24"/>
        </w:rPr>
        <w:t>“I myself would consider there were advantages in making it clear that ultimately there are even limits on the supremacy of Parliament which it is the courts' inalienable responsibility to identify and uphold.” (Lord Woolf, ‘Droit Public – English Style’ [1995] Public Law 57)</w:t>
      </w:r>
    </w:p>
    <w:p w:rsidR="009F18EB" w:rsidRPr="0040545C" w:rsidRDefault="009F18EB" w:rsidP="009F18EB">
      <w:pPr>
        <w:keepNext/>
        <w:spacing w:after="0" w:line="276" w:lineRule="auto"/>
        <w:ind w:left="360"/>
        <w:contextualSpacing/>
        <w:jc w:val="both"/>
        <w:rPr>
          <w:rFonts w:ascii="Times New Roman" w:eastAsia="Calibri" w:hAnsi="Times New Roman" w:cs="Times New Roman"/>
          <w:sz w:val="24"/>
          <w:szCs w:val="24"/>
        </w:rPr>
      </w:pPr>
    </w:p>
    <w:p w:rsidR="009F18EB" w:rsidRPr="0040545C" w:rsidRDefault="009F18EB" w:rsidP="009F18EB">
      <w:pPr>
        <w:keepNext/>
        <w:spacing w:after="0" w:line="276" w:lineRule="auto"/>
        <w:ind w:left="360"/>
        <w:contextualSpacing/>
        <w:jc w:val="both"/>
        <w:rPr>
          <w:rFonts w:ascii="Times New Roman" w:eastAsia="Times New Roman" w:hAnsi="Times New Roman" w:cs="Times New Roman"/>
          <w:sz w:val="24"/>
          <w:szCs w:val="24"/>
          <w:lang w:eastAsia="en-GB" w:bidi="he-IL"/>
        </w:rPr>
      </w:pPr>
      <w:r w:rsidRPr="0040545C">
        <w:rPr>
          <w:rFonts w:ascii="Times New Roman" w:eastAsia="Calibri" w:hAnsi="Times New Roman" w:cs="Times New Roman"/>
          <w:sz w:val="24"/>
          <w:szCs w:val="24"/>
        </w:rPr>
        <w:t xml:space="preserve">Does the </w:t>
      </w:r>
      <w:r w:rsidRPr="0040545C">
        <w:rPr>
          <w:rFonts w:ascii="Times New Roman" w:eastAsia="Calibri" w:hAnsi="Times New Roman" w:cs="Times New Roman"/>
          <w:i/>
          <w:sz w:val="24"/>
          <w:szCs w:val="24"/>
        </w:rPr>
        <w:t xml:space="preserve">Jackson </w:t>
      </w:r>
      <w:r w:rsidRPr="0040545C">
        <w:rPr>
          <w:rFonts w:ascii="Times New Roman" w:eastAsia="Calibri" w:hAnsi="Times New Roman" w:cs="Times New Roman"/>
          <w:sz w:val="24"/>
          <w:szCs w:val="24"/>
        </w:rPr>
        <w:t>case</w:t>
      </w:r>
      <w:r w:rsidRPr="0040545C">
        <w:rPr>
          <w:rFonts w:ascii="Times New Roman" w:eastAsia="Calibri" w:hAnsi="Times New Roman" w:cs="Times New Roman"/>
          <w:i/>
          <w:sz w:val="24"/>
          <w:szCs w:val="24"/>
        </w:rPr>
        <w:t xml:space="preserve"> </w:t>
      </w:r>
      <w:r w:rsidRPr="0040545C">
        <w:rPr>
          <w:rFonts w:ascii="Times New Roman" w:eastAsia="Calibri" w:hAnsi="Times New Roman" w:cs="Times New Roman"/>
          <w:sz w:val="24"/>
          <w:szCs w:val="24"/>
        </w:rPr>
        <w:t>(</w:t>
      </w:r>
      <w:r w:rsidRPr="0040545C">
        <w:rPr>
          <w:rFonts w:ascii="Times New Roman" w:eastAsia="Times New Roman" w:hAnsi="Times New Roman" w:cs="Times New Roman"/>
          <w:sz w:val="24"/>
          <w:szCs w:val="24"/>
          <w:lang w:eastAsia="en-GB" w:bidi="he-IL"/>
        </w:rPr>
        <w:t>[2005] UKHL 56) prove Lord Woolf right?</w:t>
      </w:r>
    </w:p>
    <w:p w:rsidR="009F18EB" w:rsidRPr="0040545C" w:rsidRDefault="009F18EB" w:rsidP="009F18EB">
      <w:pPr>
        <w:spacing w:after="0" w:line="276" w:lineRule="auto"/>
        <w:jc w:val="both"/>
        <w:rPr>
          <w:rFonts w:ascii="Times New Roman" w:eastAsia="Calibri" w:hAnsi="Times New Roman" w:cs="Times New Roman"/>
          <w:sz w:val="24"/>
          <w:szCs w:val="24"/>
        </w:rPr>
      </w:pPr>
    </w:p>
    <w:p w:rsidR="009F18EB" w:rsidRPr="0040545C" w:rsidRDefault="009F18EB" w:rsidP="009F18EB">
      <w:pPr>
        <w:spacing w:after="0" w:line="276" w:lineRule="auto"/>
        <w:outlineLvl w:val="2"/>
        <w:rPr>
          <w:rFonts w:ascii="Times New Roman" w:eastAsia="Calibri" w:hAnsi="Times New Roman" w:cs="Times New Roman"/>
          <w:b/>
          <w:sz w:val="28"/>
          <w:szCs w:val="24"/>
        </w:rPr>
      </w:pPr>
      <w:r w:rsidRPr="0040545C">
        <w:rPr>
          <w:rFonts w:ascii="Times New Roman" w:eastAsia="Calibri" w:hAnsi="Times New Roman" w:cs="Times New Roman"/>
          <w:b/>
          <w:sz w:val="28"/>
          <w:szCs w:val="24"/>
        </w:rPr>
        <w:t>Learning Outcomes:</w:t>
      </w:r>
    </w:p>
    <w:p w:rsidR="009F18EB" w:rsidRPr="0040545C" w:rsidRDefault="009F18EB" w:rsidP="009F18EB">
      <w:pPr>
        <w:spacing w:after="0" w:line="276" w:lineRule="auto"/>
        <w:jc w:val="both"/>
        <w:rPr>
          <w:rFonts w:ascii="Times New Roman" w:eastAsia="Calibri" w:hAnsi="Times New Roman" w:cs="Times New Roman"/>
          <w:sz w:val="24"/>
          <w:szCs w:val="24"/>
        </w:rPr>
      </w:pPr>
    </w:p>
    <w:p w:rsidR="009F18EB" w:rsidRPr="0040545C" w:rsidRDefault="009F18EB" w:rsidP="009F18EB">
      <w:pPr>
        <w:spacing w:after="0" w:line="276" w:lineRule="auto"/>
        <w:jc w:val="both"/>
        <w:rPr>
          <w:rFonts w:ascii="Times New Roman" w:eastAsia="Calibri" w:hAnsi="Times New Roman" w:cs="Times New Roman"/>
          <w:sz w:val="24"/>
          <w:szCs w:val="24"/>
        </w:rPr>
      </w:pPr>
      <w:r w:rsidRPr="0040545C">
        <w:rPr>
          <w:rFonts w:ascii="Times New Roman" w:eastAsia="Calibri" w:hAnsi="Times New Roman" w:cs="Times New Roman"/>
          <w:sz w:val="24"/>
          <w:szCs w:val="24"/>
        </w:rPr>
        <w:t>By the end of this seminar, can you…</w:t>
      </w:r>
    </w:p>
    <w:p w:rsidR="009F18EB" w:rsidRPr="0040545C" w:rsidRDefault="009F18EB" w:rsidP="009F18EB">
      <w:pPr>
        <w:spacing w:after="0" w:line="276" w:lineRule="auto"/>
        <w:jc w:val="both"/>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8642"/>
        <w:gridCol w:w="374"/>
      </w:tblGrid>
      <w:tr w:rsidR="009F18EB" w:rsidRPr="0040545C" w:rsidTr="004D4094">
        <w:tc>
          <w:tcPr>
            <w:tcW w:w="8642" w:type="dxa"/>
            <w:tcBorders>
              <w:top w:val="nil"/>
              <w:left w:val="nil"/>
              <w:bottom w:val="nil"/>
              <w:right w:val="single" w:sz="4" w:space="0" w:color="auto"/>
            </w:tcBorders>
          </w:tcPr>
          <w:p w:rsidR="009F18EB" w:rsidRPr="0040545C" w:rsidRDefault="009F18EB" w:rsidP="004D4094">
            <w:pPr>
              <w:spacing w:line="276" w:lineRule="auto"/>
              <w:jc w:val="both"/>
              <w:rPr>
                <w:rFonts w:ascii="Times New Roman" w:eastAsia="Calibri" w:hAnsi="Times New Roman" w:cs="Times New Roman"/>
                <w:sz w:val="24"/>
                <w:szCs w:val="24"/>
              </w:rPr>
            </w:pPr>
            <w:r w:rsidRPr="0040545C">
              <w:rPr>
                <w:rFonts w:ascii="Times New Roman" w:eastAsia="Calibri" w:hAnsi="Times New Roman" w:cs="Times New Roman"/>
                <w:sz w:val="24"/>
                <w:szCs w:val="24"/>
              </w:rPr>
              <w:t>1. Read and make notes on the judgments in a decided case?</w:t>
            </w:r>
          </w:p>
        </w:tc>
        <w:tc>
          <w:tcPr>
            <w:tcW w:w="374" w:type="dxa"/>
            <w:tcBorders>
              <w:left w:val="single" w:sz="4" w:space="0" w:color="auto"/>
              <w:bottom w:val="single" w:sz="4" w:space="0" w:color="auto"/>
            </w:tcBorders>
          </w:tcPr>
          <w:p w:rsidR="009F18EB" w:rsidRPr="0040545C" w:rsidRDefault="009F18EB" w:rsidP="004D4094">
            <w:pPr>
              <w:spacing w:line="276" w:lineRule="auto"/>
              <w:jc w:val="both"/>
              <w:rPr>
                <w:rFonts w:ascii="Times New Roman" w:eastAsia="Calibri" w:hAnsi="Times New Roman" w:cs="Times New Roman"/>
                <w:sz w:val="24"/>
                <w:szCs w:val="24"/>
              </w:rPr>
            </w:pPr>
          </w:p>
        </w:tc>
      </w:tr>
      <w:tr w:rsidR="009F18EB" w:rsidRPr="0040545C" w:rsidTr="004D4094">
        <w:tc>
          <w:tcPr>
            <w:tcW w:w="8642" w:type="dxa"/>
            <w:tcBorders>
              <w:top w:val="nil"/>
              <w:left w:val="nil"/>
              <w:bottom w:val="nil"/>
              <w:right w:val="nil"/>
            </w:tcBorders>
          </w:tcPr>
          <w:p w:rsidR="009F18EB" w:rsidRPr="0040545C" w:rsidRDefault="009F18EB" w:rsidP="004D4094">
            <w:pPr>
              <w:spacing w:line="276" w:lineRule="auto"/>
              <w:jc w:val="both"/>
              <w:rPr>
                <w:rFonts w:ascii="Times New Roman" w:eastAsia="Calibri" w:hAnsi="Times New Roman" w:cs="Times New Roman"/>
                <w:sz w:val="24"/>
                <w:szCs w:val="24"/>
              </w:rPr>
            </w:pPr>
            <w:r w:rsidRPr="0040545C">
              <w:rPr>
                <w:rFonts w:ascii="Times New Roman" w:eastAsia="Calibri" w:hAnsi="Times New Roman" w:cs="Times New Roman"/>
                <w:sz w:val="24"/>
                <w:szCs w:val="24"/>
              </w:rPr>
              <w:t>2. Understand the subject matter of this seminar, especially:</w:t>
            </w:r>
          </w:p>
        </w:tc>
        <w:tc>
          <w:tcPr>
            <w:tcW w:w="374" w:type="dxa"/>
            <w:tcBorders>
              <w:left w:val="nil"/>
              <w:bottom w:val="single" w:sz="4" w:space="0" w:color="auto"/>
              <w:right w:val="nil"/>
            </w:tcBorders>
          </w:tcPr>
          <w:p w:rsidR="009F18EB" w:rsidRPr="0040545C" w:rsidRDefault="009F18EB" w:rsidP="004D4094">
            <w:pPr>
              <w:spacing w:line="276" w:lineRule="auto"/>
              <w:jc w:val="both"/>
              <w:rPr>
                <w:rFonts w:ascii="Times New Roman" w:eastAsia="Calibri" w:hAnsi="Times New Roman" w:cs="Times New Roman"/>
                <w:sz w:val="24"/>
                <w:szCs w:val="24"/>
              </w:rPr>
            </w:pPr>
          </w:p>
        </w:tc>
      </w:tr>
      <w:tr w:rsidR="009F18EB" w:rsidRPr="0040545C" w:rsidTr="004D4094">
        <w:tc>
          <w:tcPr>
            <w:tcW w:w="8642" w:type="dxa"/>
            <w:tcBorders>
              <w:top w:val="nil"/>
              <w:left w:val="nil"/>
              <w:bottom w:val="nil"/>
              <w:right w:val="single" w:sz="4" w:space="0" w:color="auto"/>
            </w:tcBorders>
          </w:tcPr>
          <w:p w:rsidR="009F18EB" w:rsidRPr="0040545C" w:rsidRDefault="009F18EB" w:rsidP="009F18EB">
            <w:pPr>
              <w:numPr>
                <w:ilvl w:val="0"/>
                <w:numId w:val="14"/>
              </w:numPr>
              <w:spacing w:line="276" w:lineRule="auto"/>
              <w:contextualSpacing/>
              <w:jc w:val="both"/>
              <w:rPr>
                <w:rFonts w:ascii="Times New Roman" w:eastAsia="Calibri" w:hAnsi="Times New Roman" w:cs="Times New Roman"/>
                <w:sz w:val="24"/>
                <w:szCs w:val="24"/>
              </w:rPr>
            </w:pPr>
            <w:proofErr w:type="spellStart"/>
            <w:r w:rsidRPr="0040545C">
              <w:rPr>
                <w:rFonts w:ascii="Times New Roman" w:eastAsia="Calibri" w:hAnsi="Times New Roman" w:cs="Times New Roman"/>
                <w:sz w:val="24"/>
                <w:szCs w:val="24"/>
              </w:rPr>
              <w:t>Dicey’s</w:t>
            </w:r>
            <w:proofErr w:type="spellEnd"/>
            <w:r w:rsidRPr="0040545C">
              <w:rPr>
                <w:rFonts w:ascii="Times New Roman" w:eastAsia="Calibri" w:hAnsi="Times New Roman" w:cs="Times New Roman"/>
                <w:sz w:val="24"/>
                <w:szCs w:val="24"/>
              </w:rPr>
              <w:t xml:space="preserve"> traditional theory of Parliamentary sovereignty?</w:t>
            </w:r>
          </w:p>
        </w:tc>
        <w:tc>
          <w:tcPr>
            <w:tcW w:w="374" w:type="dxa"/>
            <w:tcBorders>
              <w:left w:val="single" w:sz="4" w:space="0" w:color="auto"/>
            </w:tcBorders>
          </w:tcPr>
          <w:p w:rsidR="009F18EB" w:rsidRPr="0040545C" w:rsidRDefault="009F18EB" w:rsidP="004D4094">
            <w:pPr>
              <w:spacing w:line="276" w:lineRule="auto"/>
              <w:jc w:val="both"/>
              <w:rPr>
                <w:rFonts w:ascii="Times New Roman" w:eastAsia="Calibri" w:hAnsi="Times New Roman" w:cs="Times New Roman"/>
                <w:sz w:val="24"/>
                <w:szCs w:val="24"/>
              </w:rPr>
            </w:pPr>
          </w:p>
        </w:tc>
      </w:tr>
      <w:tr w:rsidR="009F18EB" w:rsidRPr="0040545C" w:rsidTr="004D4094">
        <w:tc>
          <w:tcPr>
            <w:tcW w:w="8642" w:type="dxa"/>
            <w:tcBorders>
              <w:top w:val="nil"/>
              <w:left w:val="nil"/>
              <w:bottom w:val="nil"/>
              <w:right w:val="single" w:sz="4" w:space="0" w:color="auto"/>
            </w:tcBorders>
          </w:tcPr>
          <w:p w:rsidR="009F18EB" w:rsidRPr="0040545C" w:rsidRDefault="009F18EB" w:rsidP="009F18EB">
            <w:pPr>
              <w:numPr>
                <w:ilvl w:val="0"/>
                <w:numId w:val="14"/>
              </w:numPr>
              <w:spacing w:line="276" w:lineRule="auto"/>
              <w:contextualSpacing/>
              <w:jc w:val="both"/>
              <w:rPr>
                <w:rFonts w:ascii="Times New Roman" w:eastAsia="Calibri" w:hAnsi="Times New Roman" w:cs="Times New Roman"/>
                <w:sz w:val="24"/>
                <w:szCs w:val="24"/>
              </w:rPr>
            </w:pPr>
            <w:r w:rsidRPr="0040545C">
              <w:rPr>
                <w:rFonts w:ascii="Times New Roman" w:eastAsia="Calibri" w:hAnsi="Times New Roman" w:cs="Times New Roman"/>
                <w:sz w:val="24"/>
                <w:szCs w:val="24"/>
              </w:rPr>
              <w:t xml:space="preserve">The facts, holding, and important </w:t>
            </w:r>
            <w:r w:rsidRPr="0040545C">
              <w:rPr>
                <w:rFonts w:ascii="Times New Roman" w:eastAsia="Calibri" w:hAnsi="Times New Roman" w:cs="Times New Roman"/>
                <w:i/>
                <w:sz w:val="24"/>
                <w:szCs w:val="24"/>
              </w:rPr>
              <w:t>obiter dicta</w:t>
            </w:r>
            <w:r w:rsidRPr="0040545C">
              <w:rPr>
                <w:rFonts w:ascii="Times New Roman" w:eastAsia="Calibri" w:hAnsi="Times New Roman" w:cs="Times New Roman"/>
                <w:sz w:val="24"/>
                <w:szCs w:val="24"/>
              </w:rPr>
              <w:t xml:space="preserve"> in the </w:t>
            </w:r>
            <w:r w:rsidRPr="0040545C">
              <w:rPr>
                <w:rFonts w:ascii="Times New Roman" w:eastAsia="Calibri" w:hAnsi="Times New Roman" w:cs="Times New Roman"/>
                <w:i/>
                <w:sz w:val="24"/>
                <w:szCs w:val="24"/>
              </w:rPr>
              <w:t xml:space="preserve">Jackson </w:t>
            </w:r>
            <w:r w:rsidRPr="0040545C">
              <w:rPr>
                <w:rFonts w:ascii="Times New Roman" w:eastAsia="Calibri" w:hAnsi="Times New Roman" w:cs="Times New Roman"/>
                <w:sz w:val="24"/>
                <w:szCs w:val="24"/>
              </w:rPr>
              <w:t>case?</w:t>
            </w:r>
          </w:p>
        </w:tc>
        <w:tc>
          <w:tcPr>
            <w:tcW w:w="374" w:type="dxa"/>
            <w:tcBorders>
              <w:left w:val="single" w:sz="4" w:space="0" w:color="auto"/>
            </w:tcBorders>
          </w:tcPr>
          <w:p w:rsidR="009F18EB" w:rsidRPr="0040545C" w:rsidRDefault="009F18EB" w:rsidP="004D4094">
            <w:pPr>
              <w:spacing w:line="276" w:lineRule="auto"/>
              <w:jc w:val="both"/>
              <w:rPr>
                <w:rFonts w:ascii="Times New Roman" w:eastAsia="Calibri" w:hAnsi="Times New Roman" w:cs="Times New Roman"/>
                <w:sz w:val="24"/>
                <w:szCs w:val="24"/>
              </w:rPr>
            </w:pPr>
          </w:p>
        </w:tc>
      </w:tr>
      <w:tr w:rsidR="009F18EB" w:rsidRPr="0040545C" w:rsidTr="004D4094">
        <w:tc>
          <w:tcPr>
            <w:tcW w:w="8642" w:type="dxa"/>
            <w:tcBorders>
              <w:top w:val="nil"/>
              <w:left w:val="nil"/>
              <w:bottom w:val="nil"/>
              <w:right w:val="single" w:sz="4" w:space="0" w:color="auto"/>
            </w:tcBorders>
          </w:tcPr>
          <w:p w:rsidR="009F18EB" w:rsidRPr="0040545C" w:rsidRDefault="009F18EB" w:rsidP="009F18EB">
            <w:pPr>
              <w:numPr>
                <w:ilvl w:val="0"/>
                <w:numId w:val="14"/>
              </w:numPr>
              <w:spacing w:line="276" w:lineRule="auto"/>
              <w:contextualSpacing/>
              <w:jc w:val="both"/>
              <w:rPr>
                <w:rFonts w:ascii="Times New Roman" w:eastAsia="Calibri" w:hAnsi="Times New Roman" w:cs="Times New Roman"/>
                <w:sz w:val="24"/>
                <w:szCs w:val="24"/>
              </w:rPr>
            </w:pPr>
            <w:r w:rsidRPr="0040545C">
              <w:rPr>
                <w:rFonts w:ascii="Times New Roman" w:eastAsia="Calibri" w:hAnsi="Times New Roman" w:cs="Times New Roman"/>
                <w:sz w:val="24"/>
                <w:szCs w:val="24"/>
              </w:rPr>
              <w:t>The range of possible limits to Parliamentary sovereignty?</w:t>
            </w:r>
          </w:p>
        </w:tc>
        <w:tc>
          <w:tcPr>
            <w:tcW w:w="374" w:type="dxa"/>
            <w:tcBorders>
              <w:left w:val="single" w:sz="4" w:space="0" w:color="auto"/>
            </w:tcBorders>
          </w:tcPr>
          <w:p w:rsidR="009F18EB" w:rsidRPr="0040545C" w:rsidRDefault="009F18EB" w:rsidP="004D4094">
            <w:pPr>
              <w:spacing w:line="276" w:lineRule="auto"/>
              <w:jc w:val="both"/>
              <w:rPr>
                <w:rFonts w:ascii="Times New Roman" w:eastAsia="Calibri" w:hAnsi="Times New Roman" w:cs="Times New Roman"/>
                <w:sz w:val="24"/>
                <w:szCs w:val="24"/>
              </w:rPr>
            </w:pPr>
          </w:p>
        </w:tc>
      </w:tr>
      <w:tr w:rsidR="009F18EB" w:rsidRPr="0040545C" w:rsidTr="004D4094">
        <w:tc>
          <w:tcPr>
            <w:tcW w:w="8642" w:type="dxa"/>
            <w:tcBorders>
              <w:top w:val="nil"/>
              <w:left w:val="nil"/>
              <w:bottom w:val="nil"/>
              <w:right w:val="single" w:sz="4" w:space="0" w:color="auto"/>
            </w:tcBorders>
          </w:tcPr>
          <w:p w:rsidR="009F18EB" w:rsidRPr="0040545C" w:rsidRDefault="009F18EB" w:rsidP="004D4094">
            <w:pPr>
              <w:spacing w:line="276" w:lineRule="auto"/>
              <w:jc w:val="both"/>
              <w:rPr>
                <w:rFonts w:ascii="Times New Roman" w:eastAsia="Calibri" w:hAnsi="Times New Roman" w:cs="Times New Roman"/>
                <w:sz w:val="24"/>
                <w:szCs w:val="24"/>
              </w:rPr>
            </w:pPr>
            <w:r w:rsidRPr="0040545C">
              <w:rPr>
                <w:rFonts w:ascii="Times New Roman" w:eastAsia="Calibri" w:hAnsi="Times New Roman" w:cs="Times New Roman"/>
                <w:sz w:val="24"/>
                <w:szCs w:val="24"/>
              </w:rPr>
              <w:t>3. Orally communicate knowledge and criticism of the subject matter?</w:t>
            </w:r>
          </w:p>
        </w:tc>
        <w:tc>
          <w:tcPr>
            <w:tcW w:w="374" w:type="dxa"/>
            <w:tcBorders>
              <w:left w:val="single" w:sz="4" w:space="0" w:color="auto"/>
            </w:tcBorders>
          </w:tcPr>
          <w:p w:rsidR="009F18EB" w:rsidRPr="0040545C" w:rsidRDefault="009F18EB" w:rsidP="004D4094">
            <w:pPr>
              <w:spacing w:line="276" w:lineRule="auto"/>
              <w:jc w:val="both"/>
              <w:rPr>
                <w:rFonts w:ascii="Times New Roman" w:eastAsia="Calibri" w:hAnsi="Times New Roman" w:cs="Times New Roman"/>
                <w:sz w:val="24"/>
                <w:szCs w:val="24"/>
              </w:rPr>
            </w:pPr>
          </w:p>
        </w:tc>
      </w:tr>
      <w:tr w:rsidR="009F18EB" w:rsidRPr="0040545C" w:rsidTr="004D4094">
        <w:tc>
          <w:tcPr>
            <w:tcW w:w="8642" w:type="dxa"/>
            <w:tcBorders>
              <w:top w:val="nil"/>
              <w:left w:val="nil"/>
              <w:bottom w:val="nil"/>
              <w:right w:val="single" w:sz="4" w:space="0" w:color="auto"/>
            </w:tcBorders>
          </w:tcPr>
          <w:p w:rsidR="009F18EB" w:rsidRPr="0040545C" w:rsidRDefault="009F18EB" w:rsidP="004D4094">
            <w:pPr>
              <w:spacing w:line="276" w:lineRule="auto"/>
              <w:jc w:val="both"/>
              <w:rPr>
                <w:rFonts w:ascii="Times New Roman" w:eastAsia="Calibri" w:hAnsi="Times New Roman" w:cs="Times New Roman"/>
                <w:sz w:val="24"/>
                <w:szCs w:val="24"/>
              </w:rPr>
            </w:pPr>
            <w:r w:rsidRPr="0040545C">
              <w:rPr>
                <w:rFonts w:ascii="Times New Roman" w:eastAsia="Calibri" w:hAnsi="Times New Roman" w:cs="Times New Roman"/>
                <w:sz w:val="24"/>
                <w:szCs w:val="24"/>
              </w:rPr>
              <w:t>4. Prepare a brief essay plan for a question about Parliamentary sovereignty?</w:t>
            </w:r>
          </w:p>
        </w:tc>
        <w:tc>
          <w:tcPr>
            <w:tcW w:w="374" w:type="dxa"/>
            <w:tcBorders>
              <w:left w:val="single" w:sz="4" w:space="0" w:color="auto"/>
            </w:tcBorders>
          </w:tcPr>
          <w:p w:rsidR="009F18EB" w:rsidRPr="0040545C" w:rsidRDefault="009F18EB" w:rsidP="004D4094">
            <w:pPr>
              <w:spacing w:line="276" w:lineRule="auto"/>
              <w:jc w:val="both"/>
              <w:rPr>
                <w:rFonts w:ascii="Times New Roman" w:eastAsia="Calibri" w:hAnsi="Times New Roman" w:cs="Times New Roman"/>
                <w:sz w:val="24"/>
                <w:szCs w:val="24"/>
              </w:rPr>
            </w:pPr>
          </w:p>
        </w:tc>
      </w:tr>
    </w:tbl>
    <w:p w:rsidR="009F18EB" w:rsidRPr="0040545C" w:rsidRDefault="009F18EB" w:rsidP="009F18EB">
      <w:pPr>
        <w:spacing w:after="0" w:line="276" w:lineRule="auto"/>
        <w:jc w:val="both"/>
        <w:rPr>
          <w:rFonts w:ascii="Times New Roman" w:eastAsia="Calibri" w:hAnsi="Times New Roman" w:cs="Times New Roman"/>
          <w:sz w:val="24"/>
          <w:szCs w:val="24"/>
        </w:rPr>
      </w:pPr>
    </w:p>
    <w:p w:rsidR="00EF3179" w:rsidRPr="009F18EB" w:rsidRDefault="009F18EB" w:rsidP="009F18EB">
      <w:r w:rsidRPr="0040545C">
        <w:rPr>
          <w:rFonts w:ascii="Times New Roman" w:eastAsia="Calibri" w:hAnsi="Times New Roman" w:cs="Times New Roman"/>
          <w:b/>
          <w:i/>
          <w:sz w:val="24"/>
          <w:szCs w:val="24"/>
        </w:rPr>
        <w:t>Remember to test your general knowledge of the subject matter with the Quiz on blackboard.</w:t>
      </w:r>
    </w:p>
    <w:sectPr w:rsidR="00EF3179" w:rsidRPr="009F1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3C2A"/>
    <w:multiLevelType w:val="hybridMultilevel"/>
    <w:tmpl w:val="B602FF9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0E24AB"/>
    <w:multiLevelType w:val="hybridMultilevel"/>
    <w:tmpl w:val="C006397E"/>
    <w:lvl w:ilvl="0" w:tplc="E8602F2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0756D0"/>
    <w:multiLevelType w:val="hybridMultilevel"/>
    <w:tmpl w:val="70224E9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580313"/>
    <w:multiLevelType w:val="hybridMultilevel"/>
    <w:tmpl w:val="70224E9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1D7A63"/>
    <w:multiLevelType w:val="hybridMultilevel"/>
    <w:tmpl w:val="015C5D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EE235F"/>
    <w:multiLevelType w:val="hybridMultilevel"/>
    <w:tmpl w:val="F8A2E0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712F04"/>
    <w:multiLevelType w:val="hybridMultilevel"/>
    <w:tmpl w:val="A6967C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C84D93"/>
    <w:multiLevelType w:val="hybridMultilevel"/>
    <w:tmpl w:val="9E42CC8E"/>
    <w:lvl w:ilvl="0" w:tplc="FFF26D2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78A1196"/>
    <w:multiLevelType w:val="hybridMultilevel"/>
    <w:tmpl w:val="1C1CA5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8F237D"/>
    <w:multiLevelType w:val="hybridMultilevel"/>
    <w:tmpl w:val="C6461A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CAD2A27"/>
    <w:multiLevelType w:val="hybridMultilevel"/>
    <w:tmpl w:val="A6967C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3A456EA"/>
    <w:multiLevelType w:val="hybridMultilevel"/>
    <w:tmpl w:val="9E42CC8E"/>
    <w:lvl w:ilvl="0" w:tplc="FFF26D2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F1C459C"/>
    <w:multiLevelType w:val="hybridMultilevel"/>
    <w:tmpl w:val="999A22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5B2DD9"/>
    <w:multiLevelType w:val="hybridMultilevel"/>
    <w:tmpl w:val="1C1CA5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3C06796"/>
    <w:multiLevelType w:val="hybridMultilevel"/>
    <w:tmpl w:val="015C5D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8B75A7F"/>
    <w:multiLevelType w:val="hybridMultilevel"/>
    <w:tmpl w:val="70224E9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D841010"/>
    <w:multiLevelType w:val="hybridMultilevel"/>
    <w:tmpl w:val="DEEEEDC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5"/>
  </w:num>
  <w:num w:numId="3">
    <w:abstractNumId w:val="9"/>
  </w:num>
  <w:num w:numId="4">
    <w:abstractNumId w:val="11"/>
  </w:num>
  <w:num w:numId="5">
    <w:abstractNumId w:val="8"/>
  </w:num>
  <w:num w:numId="6">
    <w:abstractNumId w:val="14"/>
  </w:num>
  <w:num w:numId="7">
    <w:abstractNumId w:val="10"/>
  </w:num>
  <w:num w:numId="8">
    <w:abstractNumId w:val="16"/>
  </w:num>
  <w:num w:numId="9">
    <w:abstractNumId w:val="13"/>
  </w:num>
  <w:num w:numId="10">
    <w:abstractNumId w:val="7"/>
  </w:num>
  <w:num w:numId="11">
    <w:abstractNumId w:val="3"/>
  </w:num>
  <w:num w:numId="12">
    <w:abstractNumId w:val="1"/>
  </w:num>
  <w:num w:numId="13">
    <w:abstractNumId w:val="12"/>
  </w:num>
  <w:num w:numId="14">
    <w:abstractNumId w:val="0"/>
  </w:num>
  <w:num w:numId="15">
    <w:abstractNumId w:val="4"/>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BF"/>
    <w:rsid w:val="009F18EB"/>
    <w:rsid w:val="00AB5DBF"/>
    <w:rsid w:val="00EF3179"/>
    <w:rsid w:val="00FF0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EA7AF-7497-4348-95F0-931BD929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lawtrove.com/view/10.1093/he/9780198798064.001.0001/he-9780198798064-chapter-8" TargetMode="External"/><Relationship Id="rId13" Type="http://schemas.openxmlformats.org/officeDocument/2006/relationships/hyperlink" Target="https://uk.practicallaw.thomsonreuters.com/Document/I3f4a42f2e8db11e398db8b09b4f043e0/View/FullText.html?navigationPath=Search%2Fv1%2Fresults%2Fnavigation%2Fi0ad740120000016d160d79cc4374867a%3FNav%3DKNOWHOW_UK%26fragmentIdentifier%3DI3f4a42f2e8db11e398db8b09b4f043e0%26parentRank%3D0%26startIndex%3D1%26contextData%3D%2528sc.Search%2529%26transitionType%3DSearchItem&amp;listSource=Search&amp;listPageSource=08f7d66d84f2b8e8031fd7324e0d39d3&amp;list=KNOWHOW_UK&amp;rank=1&amp;sessionScopeId=b3ffcce06d0e353a29df55f98c1d64d7201e08c8ac2c92e779f59a53a5f3aeda&amp;originationContext=Search+Result&amp;transitionType=SearchItem&amp;contextData=%28sc.Search%29&amp;comp=pluk" TargetMode="External"/><Relationship Id="rId3" Type="http://schemas.openxmlformats.org/officeDocument/2006/relationships/settings" Target="settings.xml"/><Relationship Id="rId7" Type="http://schemas.openxmlformats.org/officeDocument/2006/relationships/hyperlink" Target="http://www.oxfordlawtrove.com/view/10.1093/he/9780198798064.001.0001/he-9780198798064-chapter-7" TargetMode="External"/><Relationship Id="rId12" Type="http://schemas.openxmlformats.org/officeDocument/2006/relationships/hyperlink" Target="https://uk.practicallaw.thomsonreuters.com/Document/I820acdc834ad11e598dc8b09b4f043e0/View/FullText.html?navigationPath=Search%2Fv1%2Fresults%2Fnavigation%2Fi0ad740120000016d160e0f64437486b9%3FNav%3DKNOWHOW_UK%26fragmentIdentifier%3DI820acdc834ad11e598dc8b09b4f043e0%26parentRank%3D0%26startIndex%3D1%26contextData%3D%2528sc.Search%2529%26transitionType%3DSearchItem&amp;listSource=Search&amp;listPageSource=f31d908ede3d1dbec41beb64f242db89&amp;list=KNOWHOW_UK&amp;rank=1&amp;sessionScopeId=b3ffcce06d0e353a29df55f98c1d64d7201e08c8ac2c92e779f59a53a5f3aeda&amp;originationContext=Search+Result&amp;transitionType=SearchItem&amp;contextData=%28sc.Search%29&amp;comp=pl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tions.parliament.uk/pa/ld200506/ldjudgmt/jd051013/jack.pdf" TargetMode="External"/><Relationship Id="rId11" Type="http://schemas.openxmlformats.org/officeDocument/2006/relationships/hyperlink" Target="https://www.oxfordlawtrove.com/view/10.1093/he/9780198831273.001.0001/he-9780198831273-chapter-7" TargetMode="External"/><Relationship Id="rId5" Type="http://schemas.openxmlformats.org/officeDocument/2006/relationships/hyperlink" Target="https://uk.practicallaw.thomsonreuters.com/Document/I79CE7810E42811DA8FC2A0F0355337E9/View/FullText.html?skipAnonymous=true" TargetMode="External"/><Relationship Id="rId15" Type="http://schemas.openxmlformats.org/officeDocument/2006/relationships/theme" Target="theme/theme1.xml"/><Relationship Id="rId10" Type="http://schemas.openxmlformats.org/officeDocument/2006/relationships/hyperlink" Target="https://onlinelibrary.wiley.com/doi/epdf/10.1111/j.1748-121X.2006.00038.x" TargetMode="External"/><Relationship Id="rId4" Type="http://schemas.openxmlformats.org/officeDocument/2006/relationships/webSettings" Target="webSettings.xml"/><Relationship Id="rId9" Type="http://schemas.openxmlformats.org/officeDocument/2006/relationships/hyperlink" Target="https://www.oxfordlawtrove.com/view/10.1093/he/9780198806363.001.0001/he-9780198806363-chapter-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dc:creator>
  <cp:keywords/>
  <dc:description/>
  <cp:lastModifiedBy>Allen M.</cp:lastModifiedBy>
  <cp:revision>2</cp:revision>
  <dcterms:created xsi:type="dcterms:W3CDTF">2019-10-09T15:54:00Z</dcterms:created>
  <dcterms:modified xsi:type="dcterms:W3CDTF">2019-10-09T15:54:00Z</dcterms:modified>
</cp:coreProperties>
</file>